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901A" w14:textId="77777777" w:rsidR="00587AAB" w:rsidRDefault="00587AAB" w:rsidP="00587AAB">
      <w:pPr>
        <w:jc w:val="center"/>
      </w:pPr>
    </w:p>
    <w:p w14:paraId="2E33CC79" w14:textId="77777777" w:rsidR="00587AAB" w:rsidRDefault="00587AAB" w:rsidP="00587AAB">
      <w:pPr>
        <w:jc w:val="center"/>
      </w:pPr>
    </w:p>
    <w:p w14:paraId="43132B87" w14:textId="77777777" w:rsidR="00587AAB" w:rsidRDefault="00587AAB" w:rsidP="00587AAB">
      <w:pPr>
        <w:jc w:val="center"/>
      </w:pPr>
    </w:p>
    <w:p w14:paraId="45DCAC6D" w14:textId="77777777" w:rsidR="00587AAB" w:rsidRDefault="00587AAB" w:rsidP="00587AAB">
      <w:pPr>
        <w:jc w:val="center"/>
      </w:pPr>
    </w:p>
    <w:p w14:paraId="65355F3C" w14:textId="77777777" w:rsidR="00587AAB" w:rsidRDefault="00587AAB" w:rsidP="00587AAB">
      <w:pPr>
        <w:jc w:val="center"/>
      </w:pPr>
    </w:p>
    <w:p w14:paraId="70B25DBE" w14:textId="77777777" w:rsidR="00587AAB" w:rsidRDefault="00587AAB" w:rsidP="00587AAB">
      <w:pPr>
        <w:jc w:val="center"/>
      </w:pPr>
    </w:p>
    <w:p w14:paraId="2F54B6DF" w14:textId="77777777" w:rsidR="00587AAB" w:rsidRDefault="00587AAB" w:rsidP="00587AAB">
      <w:pPr>
        <w:jc w:val="center"/>
      </w:pPr>
    </w:p>
    <w:p w14:paraId="5285A9F3" w14:textId="77777777" w:rsidR="00587AAB" w:rsidRDefault="00587AAB" w:rsidP="00587AAB">
      <w:pPr>
        <w:jc w:val="center"/>
      </w:pPr>
    </w:p>
    <w:p w14:paraId="5E2FB9C4" w14:textId="77777777" w:rsidR="00587AAB" w:rsidRDefault="00587AAB" w:rsidP="00587AAB">
      <w:pPr>
        <w:jc w:val="center"/>
      </w:pPr>
    </w:p>
    <w:p w14:paraId="734D34A6" w14:textId="77777777" w:rsidR="00587AAB" w:rsidRDefault="00587AAB" w:rsidP="00587AAB">
      <w:pPr>
        <w:jc w:val="center"/>
      </w:pPr>
    </w:p>
    <w:p w14:paraId="68EE0EF0" w14:textId="77777777" w:rsidR="00587AAB" w:rsidRDefault="00587AAB" w:rsidP="00587AAB">
      <w:pPr>
        <w:jc w:val="center"/>
      </w:pPr>
    </w:p>
    <w:p w14:paraId="54811600" w14:textId="77777777" w:rsidR="00587AAB" w:rsidRDefault="00587AAB" w:rsidP="00587AAB">
      <w:pPr>
        <w:jc w:val="center"/>
      </w:pPr>
    </w:p>
    <w:p w14:paraId="6A3B4708" w14:textId="77777777" w:rsidR="00587AAB" w:rsidRDefault="00587AAB" w:rsidP="00587AAB">
      <w:pPr>
        <w:jc w:val="center"/>
      </w:pPr>
    </w:p>
    <w:p w14:paraId="2B9F7970" w14:textId="77777777" w:rsidR="00587AAB" w:rsidRDefault="00587AAB" w:rsidP="00587AAB">
      <w:pPr>
        <w:jc w:val="center"/>
      </w:pPr>
    </w:p>
    <w:p w14:paraId="1BBE8746" w14:textId="77777777" w:rsidR="00587AAB" w:rsidRDefault="00587AAB" w:rsidP="00587AAB">
      <w:pPr>
        <w:jc w:val="center"/>
      </w:pPr>
    </w:p>
    <w:p w14:paraId="102437C4" w14:textId="77777777" w:rsidR="00587AAB" w:rsidRDefault="00587AAB" w:rsidP="00EE0DB7"/>
    <w:p w14:paraId="5340E4CA" w14:textId="4C64147D" w:rsidR="00F4054A" w:rsidRPr="009D0188" w:rsidRDefault="00587AAB" w:rsidP="00EE0DB7">
      <w:pPr>
        <w:ind w:firstLineChars="550" w:firstLine="1980"/>
        <w:rPr>
          <w:sz w:val="36"/>
          <w:szCs w:val="36"/>
        </w:rPr>
      </w:pPr>
      <w:r w:rsidRPr="009D0188">
        <w:rPr>
          <w:rFonts w:hint="eastAsia"/>
          <w:sz w:val="36"/>
          <w:szCs w:val="36"/>
        </w:rPr>
        <w:t>姓</w:t>
      </w:r>
      <w:r w:rsidRPr="009D0188">
        <w:rPr>
          <w:rFonts w:hint="eastAsia"/>
          <w:sz w:val="36"/>
          <w:szCs w:val="36"/>
        </w:rPr>
        <w:t xml:space="preserve"> </w:t>
      </w:r>
      <w:r w:rsidRPr="009D0188">
        <w:rPr>
          <w:sz w:val="36"/>
          <w:szCs w:val="36"/>
        </w:rPr>
        <w:t xml:space="preserve">   </w:t>
      </w:r>
      <w:r w:rsidRPr="009D0188">
        <w:rPr>
          <w:rFonts w:hint="eastAsia"/>
          <w:sz w:val="36"/>
          <w:szCs w:val="36"/>
        </w:rPr>
        <w:t>名：</w:t>
      </w:r>
      <w:r w:rsidRPr="009D0188">
        <w:rPr>
          <w:rFonts w:hint="eastAsia"/>
          <w:sz w:val="36"/>
          <w:szCs w:val="36"/>
          <w:u w:val="single"/>
        </w:rPr>
        <w:t>熊自富</w:t>
      </w:r>
    </w:p>
    <w:p w14:paraId="30FF58E2" w14:textId="77777777" w:rsidR="00587AAB" w:rsidRPr="009D0188" w:rsidRDefault="00587AAB" w:rsidP="00587AAB">
      <w:pPr>
        <w:jc w:val="center"/>
        <w:rPr>
          <w:rFonts w:hint="eastAsia"/>
          <w:sz w:val="36"/>
          <w:szCs w:val="36"/>
        </w:rPr>
      </w:pPr>
    </w:p>
    <w:p w14:paraId="4255E6BE" w14:textId="58EAC230" w:rsidR="00F4054A" w:rsidRPr="009D0188" w:rsidRDefault="00587AAB" w:rsidP="00EE0DB7">
      <w:pPr>
        <w:ind w:firstLineChars="550" w:firstLine="1980"/>
        <w:rPr>
          <w:sz w:val="36"/>
          <w:szCs w:val="36"/>
        </w:rPr>
      </w:pPr>
      <w:r w:rsidRPr="009D0188">
        <w:rPr>
          <w:rFonts w:hint="eastAsia"/>
          <w:sz w:val="36"/>
          <w:szCs w:val="36"/>
        </w:rPr>
        <w:t>学</w:t>
      </w:r>
      <w:r w:rsidRPr="009D0188">
        <w:rPr>
          <w:rFonts w:hint="eastAsia"/>
          <w:sz w:val="36"/>
          <w:szCs w:val="36"/>
        </w:rPr>
        <w:t xml:space="preserve"> </w:t>
      </w:r>
      <w:r w:rsidRPr="009D0188">
        <w:rPr>
          <w:sz w:val="36"/>
          <w:szCs w:val="36"/>
        </w:rPr>
        <w:t xml:space="preserve">   </w:t>
      </w:r>
      <w:r w:rsidRPr="009D0188">
        <w:rPr>
          <w:rFonts w:hint="eastAsia"/>
          <w:sz w:val="36"/>
          <w:szCs w:val="36"/>
        </w:rPr>
        <w:t>号：</w:t>
      </w:r>
      <w:r w:rsidR="009D0188" w:rsidRPr="009D0188">
        <w:rPr>
          <w:sz w:val="36"/>
          <w:szCs w:val="36"/>
          <w:u w:val="single"/>
        </w:rPr>
        <w:t xml:space="preserve">2500020480 </w:t>
      </w:r>
    </w:p>
    <w:p w14:paraId="0F8539B1" w14:textId="77777777" w:rsidR="00587AAB" w:rsidRPr="009D0188" w:rsidRDefault="00587AAB" w:rsidP="00587AAB">
      <w:pPr>
        <w:jc w:val="center"/>
        <w:rPr>
          <w:sz w:val="36"/>
          <w:szCs w:val="36"/>
        </w:rPr>
      </w:pPr>
    </w:p>
    <w:p w14:paraId="345A5E71" w14:textId="0D3C2F2E" w:rsidR="00F4054A" w:rsidRPr="009D0188" w:rsidRDefault="00587AAB" w:rsidP="00EE0DB7">
      <w:pPr>
        <w:ind w:firstLineChars="550" w:firstLine="1980"/>
        <w:rPr>
          <w:rFonts w:hint="eastAsia"/>
          <w:sz w:val="36"/>
          <w:szCs w:val="36"/>
        </w:rPr>
      </w:pPr>
      <w:r w:rsidRPr="009D0188">
        <w:rPr>
          <w:rFonts w:hint="eastAsia"/>
          <w:sz w:val="36"/>
          <w:szCs w:val="36"/>
        </w:rPr>
        <w:t>专</w:t>
      </w:r>
      <w:r w:rsidRPr="009D0188">
        <w:rPr>
          <w:rFonts w:hint="eastAsia"/>
          <w:sz w:val="36"/>
          <w:szCs w:val="36"/>
        </w:rPr>
        <w:t xml:space="preserve"> </w:t>
      </w:r>
      <w:r w:rsidRPr="009D0188">
        <w:rPr>
          <w:sz w:val="36"/>
          <w:szCs w:val="36"/>
        </w:rPr>
        <w:t xml:space="preserve">   </w:t>
      </w:r>
      <w:r w:rsidRPr="009D0188">
        <w:rPr>
          <w:rFonts w:hint="eastAsia"/>
          <w:sz w:val="36"/>
          <w:szCs w:val="36"/>
        </w:rPr>
        <w:t>业：</w:t>
      </w:r>
      <w:r w:rsidR="009D0188" w:rsidRPr="009D0188">
        <w:rPr>
          <w:rFonts w:hint="eastAsia"/>
          <w:sz w:val="36"/>
          <w:szCs w:val="36"/>
          <w:u w:val="single"/>
        </w:rPr>
        <w:t>汉语言文学</w:t>
      </w:r>
      <w:r w:rsidR="009D0188" w:rsidRPr="009D0188">
        <w:rPr>
          <w:rFonts w:hint="eastAsia"/>
          <w:sz w:val="36"/>
          <w:szCs w:val="36"/>
          <w:u w:val="single"/>
        </w:rPr>
        <w:t xml:space="preserve"> </w:t>
      </w:r>
    </w:p>
    <w:p w14:paraId="5BF9A0B0" w14:textId="77777777" w:rsidR="00587AAB" w:rsidRPr="009D0188" w:rsidRDefault="00587AAB" w:rsidP="00587AAB">
      <w:pPr>
        <w:jc w:val="center"/>
        <w:rPr>
          <w:sz w:val="36"/>
          <w:szCs w:val="36"/>
        </w:rPr>
      </w:pPr>
    </w:p>
    <w:p w14:paraId="4B9B5F66" w14:textId="79EDE76D" w:rsidR="00587AAB" w:rsidRPr="009D0188" w:rsidRDefault="00587AAB" w:rsidP="00EE0DB7">
      <w:pPr>
        <w:ind w:firstLineChars="550" w:firstLine="1980"/>
        <w:rPr>
          <w:sz w:val="36"/>
          <w:szCs w:val="36"/>
        </w:rPr>
      </w:pPr>
      <w:r w:rsidRPr="009D0188">
        <w:rPr>
          <w:rFonts w:hint="eastAsia"/>
          <w:sz w:val="36"/>
          <w:szCs w:val="36"/>
        </w:rPr>
        <w:t>年</w:t>
      </w:r>
      <w:r w:rsidRPr="009D0188">
        <w:rPr>
          <w:rFonts w:hint="eastAsia"/>
          <w:sz w:val="36"/>
          <w:szCs w:val="36"/>
        </w:rPr>
        <w:t xml:space="preserve"> </w:t>
      </w:r>
      <w:r w:rsidRPr="009D0188">
        <w:rPr>
          <w:sz w:val="36"/>
          <w:szCs w:val="36"/>
        </w:rPr>
        <w:t xml:space="preserve">   </w:t>
      </w:r>
      <w:r w:rsidRPr="009D0188">
        <w:rPr>
          <w:rFonts w:hint="eastAsia"/>
          <w:sz w:val="36"/>
          <w:szCs w:val="36"/>
        </w:rPr>
        <w:t>级：</w:t>
      </w:r>
      <w:r w:rsidR="009D0188" w:rsidRPr="009D0188">
        <w:rPr>
          <w:rFonts w:hint="eastAsia"/>
          <w:sz w:val="36"/>
          <w:szCs w:val="36"/>
          <w:u w:val="single"/>
        </w:rPr>
        <w:t>2</w:t>
      </w:r>
      <w:r w:rsidR="009D0188" w:rsidRPr="009D0188">
        <w:rPr>
          <w:sz w:val="36"/>
          <w:szCs w:val="36"/>
          <w:u w:val="single"/>
        </w:rPr>
        <w:t>025</w:t>
      </w:r>
      <w:r w:rsidR="009D0188" w:rsidRPr="009D0188">
        <w:rPr>
          <w:rFonts w:hint="eastAsia"/>
          <w:sz w:val="36"/>
          <w:szCs w:val="36"/>
          <w:u w:val="single"/>
        </w:rPr>
        <w:t xml:space="preserve"> </w:t>
      </w:r>
      <w:r w:rsidR="009D0188" w:rsidRPr="009D0188">
        <w:rPr>
          <w:rFonts w:hint="eastAsia"/>
          <w:sz w:val="36"/>
          <w:szCs w:val="36"/>
          <w:u w:val="single"/>
        </w:rPr>
        <w:t>年</w:t>
      </w:r>
      <w:r w:rsidR="009D0188" w:rsidRPr="009D0188">
        <w:rPr>
          <w:rFonts w:hint="eastAsia"/>
          <w:sz w:val="36"/>
          <w:szCs w:val="36"/>
          <w:u w:val="single"/>
        </w:rPr>
        <w:t xml:space="preserve"> </w:t>
      </w:r>
      <w:r w:rsidR="009D0188" w:rsidRPr="009D0188">
        <w:rPr>
          <w:sz w:val="36"/>
          <w:szCs w:val="36"/>
          <w:u w:val="single"/>
        </w:rPr>
        <w:t xml:space="preserve">   </w:t>
      </w:r>
    </w:p>
    <w:p w14:paraId="304C12F2" w14:textId="77777777" w:rsidR="00587AAB" w:rsidRPr="009D0188" w:rsidRDefault="00587AAB" w:rsidP="00587AAB">
      <w:pPr>
        <w:jc w:val="center"/>
        <w:rPr>
          <w:sz w:val="36"/>
          <w:szCs w:val="36"/>
        </w:rPr>
      </w:pPr>
    </w:p>
    <w:p w14:paraId="7847D313" w14:textId="359441CA" w:rsidR="00587AAB" w:rsidRPr="009D0188" w:rsidRDefault="00587AAB" w:rsidP="00EE0DB7">
      <w:pPr>
        <w:ind w:firstLineChars="550" w:firstLine="1980"/>
        <w:rPr>
          <w:sz w:val="36"/>
          <w:szCs w:val="36"/>
        </w:rPr>
      </w:pPr>
      <w:r w:rsidRPr="009D0188">
        <w:rPr>
          <w:rFonts w:hint="eastAsia"/>
          <w:sz w:val="36"/>
          <w:szCs w:val="36"/>
        </w:rPr>
        <w:t>学习中心：</w:t>
      </w:r>
      <w:r w:rsidR="009D0188" w:rsidRPr="009D0188">
        <w:rPr>
          <w:rFonts w:hint="eastAsia"/>
          <w:sz w:val="36"/>
          <w:szCs w:val="36"/>
          <w:u w:val="single"/>
        </w:rPr>
        <w:t>上海总部</w:t>
      </w:r>
      <w:r w:rsidR="009D0188" w:rsidRPr="009D0188">
        <w:rPr>
          <w:rFonts w:hint="eastAsia"/>
          <w:sz w:val="36"/>
          <w:szCs w:val="36"/>
          <w:u w:val="single"/>
        </w:rPr>
        <w:t xml:space="preserve"> </w:t>
      </w:r>
      <w:r w:rsidR="009D0188" w:rsidRPr="009D0188">
        <w:rPr>
          <w:sz w:val="36"/>
          <w:szCs w:val="36"/>
          <w:u w:val="single"/>
        </w:rPr>
        <w:t xml:space="preserve">  </w:t>
      </w:r>
    </w:p>
    <w:p w14:paraId="552CF0F2" w14:textId="38246894" w:rsidR="00F4054A" w:rsidRDefault="00F4054A"/>
    <w:p w14:paraId="67CCC87C" w14:textId="36342B44" w:rsidR="00F4054A" w:rsidRDefault="00F4054A"/>
    <w:p w14:paraId="0A6CB0F7" w14:textId="06CD9E5E" w:rsidR="00F4054A" w:rsidRDefault="00F4054A"/>
    <w:p w14:paraId="0D83508C" w14:textId="192CB884" w:rsidR="00F4054A" w:rsidRDefault="00F4054A"/>
    <w:p w14:paraId="63AF7059" w14:textId="5C7602B6" w:rsidR="00587AAB" w:rsidRDefault="00587AAB"/>
    <w:p w14:paraId="3652EE0A" w14:textId="2682BB05" w:rsidR="00587AAB" w:rsidRDefault="00587AAB"/>
    <w:p w14:paraId="004D69F0" w14:textId="34E5DBBA" w:rsidR="00587AAB" w:rsidRDefault="00587AAB"/>
    <w:p w14:paraId="712B499B" w14:textId="24B3C223" w:rsidR="00587AAB" w:rsidRDefault="00587AAB"/>
    <w:p w14:paraId="1F2B71E3" w14:textId="45787268" w:rsidR="00587AAB" w:rsidRDefault="00587AAB"/>
    <w:p w14:paraId="38C9CEFB" w14:textId="31164CCD" w:rsidR="00EE0DB7" w:rsidRDefault="00EE0DB7"/>
    <w:p w14:paraId="3F8D113D" w14:textId="21DB36EA" w:rsidR="00EE0DB7" w:rsidRDefault="00EE0DB7"/>
    <w:p w14:paraId="71D67C1B" w14:textId="77777777" w:rsidR="00EE0DB7" w:rsidRDefault="00EE0DB7">
      <w:pPr>
        <w:rPr>
          <w:rFonts w:hint="eastAsia"/>
        </w:rPr>
      </w:pPr>
    </w:p>
    <w:tbl>
      <w:tblPr>
        <w:tblW w:w="85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3375"/>
        <w:gridCol w:w="4261"/>
      </w:tblGrid>
      <w:tr w:rsidR="001052FF" w14:paraId="1C0CA7D0" w14:textId="77777777">
        <w:tc>
          <w:tcPr>
            <w:tcW w:w="852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6BF891" w14:textId="77777777" w:rsidR="001052FF" w:rsidRDefault="00EE2821">
            <w:pPr>
              <w:snapToGrid w:val="0"/>
              <w:jc w:val="center"/>
              <w:rPr>
                <w:rFonts w:ascii="华文楷体" w:eastAsia="华文楷体" w:hAnsi="华文楷体" w:cs="华文楷体"/>
                <w:sz w:val="56"/>
                <w:szCs w:val="96"/>
              </w:rPr>
            </w:pPr>
            <w:r>
              <w:rPr>
                <w:rFonts w:ascii="华文楷体" w:eastAsia="华文楷体" w:hAnsi="华文楷体" w:cs="华文楷体" w:hint="eastAsia"/>
                <w:sz w:val="56"/>
                <w:szCs w:val="96"/>
              </w:rPr>
              <w:lastRenderedPageBreak/>
              <w:t>人文经典阅读课程</w:t>
            </w:r>
          </w:p>
          <w:p w14:paraId="302B8ED8" w14:textId="77777777" w:rsidR="001052FF" w:rsidRDefault="00EE2821">
            <w:pPr>
              <w:snapToGrid w:val="0"/>
              <w:jc w:val="center"/>
              <w:rPr>
                <w:rFonts w:ascii="华文楷体" w:eastAsia="华文楷体" w:hAnsi="华文楷体" w:cs="华文楷体"/>
                <w:sz w:val="56"/>
                <w:szCs w:val="96"/>
              </w:rPr>
            </w:pPr>
            <w:r>
              <w:rPr>
                <w:rFonts w:ascii="华文楷体" w:eastAsia="华文楷体" w:hAnsi="华文楷体" w:cs="华文楷体" w:hint="eastAsia"/>
                <w:sz w:val="56"/>
                <w:szCs w:val="96"/>
              </w:rPr>
              <w:t>读书报告汇报表</w:t>
            </w:r>
          </w:p>
          <w:p w14:paraId="1213C8D7" w14:textId="77777777" w:rsidR="001052FF" w:rsidRDefault="001052FF">
            <w:pPr>
              <w:snapToGrid w:val="0"/>
              <w:spacing w:line="360" w:lineRule="auto"/>
              <w:jc w:val="center"/>
              <w:rPr>
                <w:rFonts w:ascii="华康宋体W7" w:eastAsia="华康宋体W7" w:hAnsi="华康宋体W7" w:cs="华康宋体W7"/>
              </w:rPr>
            </w:pPr>
          </w:p>
        </w:tc>
      </w:tr>
      <w:tr w:rsidR="001052FF" w14:paraId="48BCE41F" w14:textId="77777777">
        <w:trPr>
          <w:trHeight w:val="402"/>
        </w:trPr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2C8EA9E2" w14:textId="77777777" w:rsidR="001052FF" w:rsidRDefault="00EE2821">
            <w:pPr>
              <w:snapToGrid w:val="0"/>
              <w:rPr>
                <w:rFonts w:ascii="华康宋体W7" w:eastAsia="华康宋体W7" w:hAnsi="华康宋体W7" w:cs="华康宋体W7"/>
                <w:sz w:val="32"/>
                <w:szCs w:val="40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>学号</w:t>
            </w:r>
          </w:p>
        </w:tc>
        <w:tc>
          <w:tcPr>
            <w:tcW w:w="3375" w:type="dxa"/>
            <w:tcBorders>
              <w:tl2br w:val="nil"/>
              <w:tr2bl w:val="nil"/>
            </w:tcBorders>
            <w:vAlign w:val="center"/>
          </w:tcPr>
          <w:p w14:paraId="78181C57" w14:textId="77777777" w:rsidR="001052FF" w:rsidRDefault="00EE2821">
            <w:pPr>
              <w:widowControl/>
              <w:jc w:val="left"/>
              <w:rPr>
                <w:rFonts w:ascii="STFangsong" w:eastAsia="STFangsong" w:hAnsi="STFangsong" w:cs="STFangsong"/>
                <w:sz w:val="28"/>
                <w:szCs w:val="36"/>
              </w:rPr>
            </w:pPr>
            <w:r>
              <w:rPr>
                <w:rFonts w:ascii="Tahoma" w:eastAsia="Tahoma" w:hAnsi="Tahoma" w:cs="Tahoma"/>
                <w:color w:val="333333"/>
                <w:kern w:val="0"/>
                <w:sz w:val="28"/>
                <w:szCs w:val="28"/>
                <w:shd w:val="clear" w:color="auto" w:fill="FFFFFF"/>
                <w:lang w:bidi="ar"/>
              </w:rPr>
              <w:t>2500020480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0041C42" w14:textId="77777777" w:rsidR="001052FF" w:rsidRDefault="00EE2821">
            <w:pPr>
              <w:snapToGrid w:val="0"/>
              <w:rPr>
                <w:rFonts w:ascii="华康宋体W7" w:eastAsia="STFangsong" w:hAnsi="华康宋体W7" w:cs="华康宋体W7" w:hint="eastAsia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>姓名</w:t>
            </w: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 xml:space="preserve"> </w:t>
            </w: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>熊自富</w:t>
            </w:r>
          </w:p>
        </w:tc>
      </w:tr>
      <w:tr w:rsidR="001052FF" w14:paraId="61244545" w14:textId="77777777">
        <w:trPr>
          <w:cantSplit/>
          <w:trHeight w:val="539"/>
        </w:trPr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1188526E" w14:textId="77777777" w:rsidR="001052FF" w:rsidRDefault="00EE2821">
            <w:pPr>
              <w:snapToGrid w:val="0"/>
              <w:rPr>
                <w:rFonts w:ascii="华康宋体W7" w:eastAsia="华康宋体W7" w:hAnsi="华康宋体W7" w:cs="华康宋体W7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>书名</w:t>
            </w: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 xml:space="preserve"> </w:t>
            </w:r>
          </w:p>
        </w:tc>
        <w:tc>
          <w:tcPr>
            <w:tcW w:w="7636" w:type="dxa"/>
            <w:gridSpan w:val="2"/>
            <w:tcBorders>
              <w:tl2br w:val="nil"/>
              <w:tr2bl w:val="nil"/>
            </w:tcBorders>
            <w:vAlign w:val="center"/>
          </w:tcPr>
          <w:p w14:paraId="35CEFF48" w14:textId="77777777" w:rsidR="001052FF" w:rsidRDefault="00EE2821">
            <w:pPr>
              <w:widowControl/>
              <w:jc w:val="left"/>
              <w:rPr>
                <w:rFonts w:ascii="STFangsong" w:eastAsia="STFangsong" w:hAnsi="STFangsong" w:cs="STFangsong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color w:val="181E33"/>
                <w:kern w:val="0"/>
                <w:sz w:val="28"/>
                <w:szCs w:val="28"/>
                <w:shd w:val="clear" w:color="auto" w:fill="FFFFFF"/>
                <w:lang w:bidi="ar"/>
              </w:rPr>
              <w:t>《</w:t>
            </w:r>
            <w:r>
              <w:rPr>
                <w:rFonts w:asciiTheme="minorEastAsia" w:hAnsiTheme="minorEastAsia" w:cstheme="minorEastAsia" w:hint="eastAsia"/>
                <w:color w:val="181E33"/>
                <w:kern w:val="0"/>
                <w:sz w:val="28"/>
                <w:szCs w:val="28"/>
                <w:shd w:val="clear" w:color="auto" w:fill="FFFFFF"/>
                <w:lang w:bidi="ar"/>
              </w:rPr>
              <w:t>万历十五年</w:t>
            </w:r>
            <w:r>
              <w:rPr>
                <w:rFonts w:asciiTheme="minorEastAsia" w:hAnsiTheme="minorEastAsia" w:cstheme="minorEastAsia" w:hint="eastAsia"/>
                <w:color w:val="181E33"/>
                <w:kern w:val="0"/>
                <w:sz w:val="28"/>
                <w:szCs w:val="28"/>
                <w:shd w:val="clear" w:color="auto" w:fill="FFFFFF"/>
                <w:lang w:bidi="ar"/>
              </w:rPr>
              <w:t>》</w:t>
            </w:r>
          </w:p>
        </w:tc>
      </w:tr>
      <w:tr w:rsidR="001052FF" w14:paraId="3FABA1EB" w14:textId="77777777">
        <w:trPr>
          <w:cantSplit/>
          <w:trHeight w:val="539"/>
        </w:trPr>
        <w:tc>
          <w:tcPr>
            <w:tcW w:w="4261" w:type="dxa"/>
            <w:gridSpan w:val="2"/>
            <w:tcBorders>
              <w:tl2br w:val="nil"/>
              <w:tr2bl w:val="nil"/>
            </w:tcBorders>
            <w:vAlign w:val="center"/>
          </w:tcPr>
          <w:p w14:paraId="47825948" w14:textId="77777777" w:rsidR="001052FF" w:rsidRDefault="00EE2821">
            <w:pPr>
              <w:snapToGrid w:val="0"/>
              <w:rPr>
                <w:rFonts w:ascii="华康宋体W7" w:eastAsia="STFangsong" w:hAnsi="华康宋体W7" w:cs="华康宋体W7" w:hint="eastAsia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>作者</w:t>
            </w: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>黄仁宇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EA80A9A" w14:textId="77777777" w:rsidR="001052FF" w:rsidRDefault="00EE2821">
            <w:pPr>
              <w:snapToGrid w:val="0"/>
              <w:rPr>
                <w:rFonts w:ascii="华康宋体W7" w:eastAsia="STFangsong" w:hAnsi="华康宋体W7" w:cs="华康宋体W7" w:hint="eastAsia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>出版社</w:t>
            </w: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 xml:space="preserve"> 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北京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: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生活</w:t>
            </w:r>
            <w:r>
              <w:rPr>
                <w:rFonts w:ascii="PingFang SC" w:eastAsia="PingFang SC" w:hAnsi="PingFang SC" w:cs="PingFang SC" w:hint="eastAsia"/>
                <w:sz w:val="28"/>
                <w:szCs w:val="28"/>
              </w:rPr>
              <w:t>·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读书</w:t>
            </w:r>
            <w:r>
              <w:rPr>
                <w:rFonts w:ascii="PingFang SC" w:eastAsia="PingFang SC" w:hAnsi="PingFang SC" w:cs="PingFang SC" w:hint="eastAsia"/>
                <w:sz w:val="28"/>
                <w:szCs w:val="28"/>
              </w:rPr>
              <w:t>·</w:t>
            </w:r>
            <w:r>
              <w:rPr>
                <w:rFonts w:ascii="STFangsong" w:eastAsia="STFangsong" w:hAnsi="STFangsong" w:cs="STFangsong" w:hint="eastAsia"/>
                <w:sz w:val="28"/>
                <w:szCs w:val="28"/>
              </w:rPr>
              <w:t>新知三联书店</w:t>
            </w:r>
          </w:p>
        </w:tc>
      </w:tr>
      <w:tr w:rsidR="001052FF" w14:paraId="0D1487A5" w14:textId="77777777">
        <w:trPr>
          <w:cantSplit/>
          <w:trHeight w:val="539"/>
        </w:trPr>
        <w:tc>
          <w:tcPr>
            <w:tcW w:w="8522" w:type="dxa"/>
            <w:gridSpan w:val="3"/>
            <w:tcBorders>
              <w:tl2br w:val="nil"/>
              <w:tr2bl w:val="nil"/>
            </w:tcBorders>
            <w:vAlign w:val="center"/>
          </w:tcPr>
          <w:p w14:paraId="366F8478" w14:textId="77777777" w:rsidR="001052FF" w:rsidRDefault="00EE2821">
            <w:pPr>
              <w:adjustRightInd w:val="0"/>
              <w:snapToGrid w:val="0"/>
              <w:rPr>
                <w:rFonts w:ascii="仿宋" w:eastAsia="仿宋" w:hAnsi="仿宋" w:cs="STFangsong"/>
                <w:b/>
                <w:sz w:val="24"/>
                <w:szCs w:val="36"/>
              </w:rPr>
            </w:pPr>
            <w:r>
              <w:rPr>
                <w:rFonts w:ascii="仿宋" w:eastAsia="仿宋" w:hAnsi="仿宋" w:cs="STFangsong" w:hint="eastAsia"/>
                <w:b/>
                <w:sz w:val="24"/>
                <w:szCs w:val="36"/>
              </w:rPr>
              <w:t>说明：</w:t>
            </w:r>
          </w:p>
          <w:p w14:paraId="6F39D019" w14:textId="77777777" w:rsidR="001052FF" w:rsidRDefault="00EE2821">
            <w:pPr>
              <w:adjustRightInd w:val="0"/>
              <w:snapToGrid w:val="0"/>
              <w:ind w:firstLineChars="200" w:firstLine="482"/>
              <w:rPr>
                <w:rFonts w:ascii="仿宋" w:eastAsia="仿宋" w:hAnsi="仿宋" w:cs="STFangsong"/>
                <w:b/>
                <w:color w:val="FF0000"/>
                <w:sz w:val="24"/>
                <w:szCs w:val="36"/>
              </w:rPr>
            </w:pPr>
            <w:r>
              <w:rPr>
                <w:rFonts w:ascii="仿宋" w:eastAsia="仿宋" w:hAnsi="仿宋" w:cs="STFangsong" w:hint="eastAsia"/>
                <w:b/>
                <w:color w:val="FF0000"/>
                <w:sz w:val="24"/>
                <w:szCs w:val="36"/>
              </w:rPr>
              <w:t>读书报告要求原创，阐述自己的观点。</w:t>
            </w:r>
          </w:p>
          <w:p w14:paraId="17F14D7D" w14:textId="77777777" w:rsidR="001052FF" w:rsidRDefault="00EE2821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" w:eastAsia="仿宋" w:hAnsi="仿宋" w:cs="STFangsong"/>
                <w:b/>
                <w:sz w:val="24"/>
                <w:szCs w:val="36"/>
              </w:rPr>
            </w:pPr>
            <w:r>
              <w:rPr>
                <w:rFonts w:ascii="仿宋" w:eastAsia="仿宋" w:hAnsi="仿宋" w:cs="STFangsong" w:hint="eastAsia"/>
                <w:b/>
                <w:sz w:val="24"/>
                <w:szCs w:val="36"/>
              </w:rPr>
              <w:t>撰写读书报告时应注意引用规范，文末必须标明尾注和参考文献；</w:t>
            </w:r>
            <w:r>
              <w:rPr>
                <w:rFonts w:ascii="仿宋" w:eastAsia="仿宋" w:hAnsi="仿宋" w:cs="STFangsong"/>
                <w:b/>
                <w:sz w:val="24"/>
                <w:szCs w:val="36"/>
              </w:rPr>
              <w:t xml:space="preserve"> </w:t>
            </w:r>
          </w:p>
          <w:p w14:paraId="1F36785F" w14:textId="77777777" w:rsidR="001052FF" w:rsidRDefault="00EE2821">
            <w:pPr>
              <w:pStyle w:val="af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" w:eastAsia="仿宋" w:hAnsi="仿宋" w:cs="STFangsong"/>
                <w:b/>
                <w:sz w:val="24"/>
                <w:szCs w:val="36"/>
              </w:rPr>
            </w:pPr>
            <w:r>
              <w:rPr>
                <w:rFonts w:ascii="仿宋" w:eastAsia="仿宋" w:hAnsi="仿宋" w:cs="STFangsong" w:hint="eastAsia"/>
                <w:b/>
                <w:sz w:val="24"/>
                <w:szCs w:val="36"/>
              </w:rPr>
              <w:t>引用部分不得超过</w:t>
            </w:r>
            <w:r>
              <w:rPr>
                <w:rFonts w:ascii="仿宋" w:eastAsia="仿宋" w:hAnsi="仿宋" w:cs="STFangsong" w:hint="eastAsia"/>
                <w:b/>
                <w:sz w:val="24"/>
                <w:szCs w:val="36"/>
              </w:rPr>
              <w:t>3</w:t>
            </w:r>
            <w:r>
              <w:rPr>
                <w:rFonts w:ascii="仿宋" w:eastAsia="仿宋" w:hAnsi="仿宋" w:cs="STFangsong"/>
                <w:b/>
                <w:sz w:val="24"/>
                <w:szCs w:val="36"/>
              </w:rPr>
              <w:t>0%</w:t>
            </w:r>
            <w:r>
              <w:rPr>
                <w:rFonts w:ascii="仿宋" w:eastAsia="仿宋" w:hAnsi="仿宋" w:cs="STFangsong" w:hint="eastAsia"/>
                <w:b/>
                <w:sz w:val="24"/>
                <w:szCs w:val="36"/>
              </w:rPr>
              <w:t>。</w:t>
            </w:r>
          </w:p>
          <w:p w14:paraId="07B4A4B0" w14:textId="77777777" w:rsidR="001052FF" w:rsidRDefault="00EE2821">
            <w:pPr>
              <w:pStyle w:val="af"/>
              <w:numPr>
                <w:ilvl w:val="0"/>
                <w:numId w:val="2"/>
              </w:numPr>
              <w:ind w:firstLineChars="0"/>
              <w:rPr>
                <w:color w:val="FF0000"/>
              </w:rPr>
            </w:pPr>
            <w:r>
              <w:rPr>
                <w:rFonts w:ascii="仿宋" w:eastAsia="仿宋" w:hAnsi="仿宋" w:cs="STFangsong" w:hint="eastAsia"/>
                <w:b/>
                <w:color w:val="FF0000"/>
                <w:sz w:val="24"/>
                <w:szCs w:val="36"/>
              </w:rPr>
              <w:t>未做到以上两条者，均视为学术不端，将取消补考资格，重修课程。</w:t>
            </w:r>
          </w:p>
          <w:p w14:paraId="381EB50D" w14:textId="77777777" w:rsidR="001052FF" w:rsidRDefault="001052FF">
            <w:pPr>
              <w:pStyle w:val="af"/>
              <w:ind w:left="420" w:firstLineChars="0" w:firstLine="0"/>
              <w:rPr>
                <w:color w:val="FF0000"/>
              </w:rPr>
            </w:pPr>
          </w:p>
        </w:tc>
      </w:tr>
      <w:tr w:rsidR="001052FF" w14:paraId="2E305593" w14:textId="77777777">
        <w:trPr>
          <w:cantSplit/>
          <w:trHeight w:val="340"/>
        </w:trPr>
        <w:tc>
          <w:tcPr>
            <w:tcW w:w="8522" w:type="dxa"/>
            <w:gridSpan w:val="3"/>
            <w:tcBorders>
              <w:tl2br w:val="nil"/>
              <w:tr2bl w:val="nil"/>
            </w:tcBorders>
            <w:vAlign w:val="center"/>
          </w:tcPr>
          <w:p w14:paraId="67A48933" w14:textId="77777777" w:rsidR="001052FF" w:rsidRDefault="00EE2821">
            <w:pPr>
              <w:pStyle w:val="Ae"/>
              <w:snapToGrid w:val="0"/>
              <w:spacing w:line="240" w:lineRule="auto"/>
              <w:rPr>
                <w:rFonts w:ascii="华康宋体W7" w:eastAsia="华康宋体W7" w:hAnsi="华康宋体W7" w:cs="华康宋体W7"/>
              </w:rPr>
            </w:pP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>分章内容概括：（每章不少于</w:t>
            </w: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>200</w:t>
            </w: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>字）总分</w:t>
            </w:r>
            <w:r>
              <w:rPr>
                <w:rFonts w:ascii="STFangsong" w:eastAsia="STFangsong" w:hAnsi="STFangsong" w:cs="STFangsong" w:hint="eastAsia"/>
                <w:sz w:val="28"/>
                <w:szCs w:val="36"/>
              </w:rPr>
              <w:t>40</w:t>
            </w:r>
          </w:p>
        </w:tc>
      </w:tr>
    </w:tbl>
    <w:p w14:paraId="0F4FBF66" w14:textId="77777777" w:rsidR="001052FF" w:rsidRDefault="001052FF">
      <w:pPr>
        <w:pStyle w:val="4"/>
        <w:widowControl/>
        <w:rPr>
          <w:rFonts w:asciiTheme="majorEastAsia" w:eastAsiaTheme="majorEastAsia" w:hAnsiTheme="majorEastAsia" w:cstheme="majorEastAsia" w:hint="default"/>
          <w:color w:val="404040"/>
          <w:sz w:val="28"/>
          <w:szCs w:val="28"/>
        </w:rPr>
        <w:sectPr w:rsidR="001052FF">
          <w:pgSz w:w="11906" w:h="16838"/>
          <w:pgMar w:top="873" w:right="1800" w:bottom="1157" w:left="1800" w:header="851" w:footer="992" w:gutter="0"/>
          <w:cols w:space="425"/>
          <w:docGrid w:type="lines" w:linePitch="312"/>
        </w:sectPr>
      </w:pPr>
    </w:p>
    <w:tbl>
      <w:tblPr>
        <w:tblW w:w="85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052FF" w14:paraId="7CB1AAB9" w14:textId="77777777">
        <w:trPr>
          <w:cantSplit/>
          <w:trHeight w:val="1969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016E5B1D" w14:textId="77777777" w:rsidR="001052FF" w:rsidRDefault="00EE2821">
            <w:pPr>
              <w:pStyle w:val="4"/>
              <w:widowControl/>
              <w:rPr>
                <w:rFonts w:asciiTheme="majorEastAsia" w:eastAsiaTheme="majorEastAsia" w:hAnsiTheme="majorEastAsia" w:cstheme="majorEastAsia" w:hint="default"/>
                <w:color w:val="4040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lastRenderedPageBreak/>
              <w:t>第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一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章：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万历皇帝</w:t>
            </w:r>
          </w:p>
          <w:p w14:paraId="01AA1DB6" w14:textId="77777777" w:rsidR="001052FF" w:rsidRDefault="00EE2821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这一章主要写万历皇帝从幼年继位到亲政的历程。表面上，他是帝国最高统治者，拥有无上皇权；但实际上，他始终被文官集团、礼教制度严密束缚。无论是生活上慈圣皇太后的严格管教，还是日常朝政受到祖制和儒家道德的规范，这些都让他感到疲惫和逐渐开始厌倦朝政。即使在张居正死后多年、大拌冯保被也被驱逐出京，万历仍然感到自主权受到种种约束，这说明了个人在庞大制度下的无力，折射出封建帝制末期统治机制的僵化。正如黄宇仁先生所写“即使贵为天子，也不过是一种制度需要的产物”。</w:t>
            </w:r>
            <w:r>
              <w:rPr>
                <w:rStyle w:val="ad"/>
                <w:rFonts w:asciiTheme="majorEastAsia" w:eastAsiaTheme="majorEastAsia" w:hAnsiTheme="majorEastAsia" w:cstheme="majorEastAsia" w:hint="eastAsia"/>
                <w:color w:val="404040"/>
                <w:sz w:val="28"/>
                <w:szCs w:val="28"/>
              </w:rPr>
              <w:t>[</w:t>
            </w:r>
            <w:r>
              <w:rPr>
                <w:rStyle w:val="ad"/>
                <w:rFonts w:asciiTheme="majorEastAsia" w:eastAsiaTheme="majorEastAsia" w:hAnsiTheme="majorEastAsia" w:cstheme="majorEastAsia" w:hint="eastAsia"/>
                <w:color w:val="404040"/>
                <w:sz w:val="28"/>
                <w:szCs w:val="28"/>
              </w:rPr>
              <w:footnoteReference w:id="1"/>
            </w:r>
            <w:r>
              <w:rPr>
                <w:rStyle w:val="ad"/>
                <w:rFonts w:asciiTheme="majorEastAsia" w:eastAsiaTheme="majorEastAsia" w:hAnsiTheme="majorEastAsia" w:cstheme="majorEastAsia" w:hint="eastAsia"/>
                <w:color w:val="404040"/>
                <w:sz w:val="28"/>
                <w:szCs w:val="28"/>
              </w:rPr>
              <w:t>]</w:t>
            </w:r>
          </w:p>
          <w:p w14:paraId="76428F1B" w14:textId="77777777" w:rsidR="001052FF" w:rsidRDefault="00EE2821">
            <w:pPr>
              <w:pStyle w:val="4"/>
              <w:widowControl/>
              <w:rPr>
                <w:rFonts w:asciiTheme="majorEastAsia" w:eastAsiaTheme="majorEastAsia" w:hAnsiTheme="majorEastAsia" w:cstheme="majorEastAsia" w:hint="default"/>
                <w:color w:val="4040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第二章：首辅申时行</w:t>
            </w:r>
          </w:p>
          <w:p w14:paraId="7278E8CA" w14:textId="77777777" w:rsidR="001052FF" w:rsidRDefault="00EE282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这一章里写出了申时行的温和谨慎，他擅长以中庸的方式调和矛盾，但缺乏强力推行改革或彻底扭转局势的意志。通过申时行的处事方式，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揭示了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晚明官僚体系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的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中庸和维稳的政治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环境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：文官出身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的人一般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选择不冒风险，以求自保和官场和谐。申时行的圆滑与退让使他在复杂的朝局中能获得皇帝、内阁同僚和其他官员的暂时支持，但这种和稀泥的政治策略也意味着对弊端的纵容。当面对重大政策决策或宫廷危机时，申时行并没有展现出果断的领导力，更多时候选择息事宁人。表现了明代后期制度本身的缺陷缺乏强有力的改革推动力，而个人也不愿承担激烈改革带来的政治风险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hd w:val="clear" w:color="auto" w:fill="FFFFFF"/>
                <w:lang w:bidi="ar"/>
              </w:rPr>
              <w:t>这种折衷策略最终导致朝政在表面稳定中陷入低效循环，凸显传统官僚政治的复杂性与局限性。正如当年明月在《明朝那些事儿》中所描述的，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hd w:val="clear" w:color="auto" w:fill="FFFFFF"/>
                <w:lang w:bidi="ar"/>
              </w:rPr>
              <w:t>“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hd w:val="clear" w:color="auto" w:fill="FFFFFF"/>
                <w:lang w:bidi="ar"/>
              </w:rPr>
              <w:t>明朝的官僚体系庞大且盘根错节，官员们在其中行事往往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hd w:val="clear" w:color="auto" w:fill="FFFFFF"/>
                <w:lang w:bidi="ar"/>
              </w:rPr>
              <w:t>要权衡各方利益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hd w:val="clear" w:color="auto" w:fill="FFFFFF"/>
                <w:lang w:bidi="ar"/>
              </w:rPr>
              <w:t>”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shd w:val="clear" w:color="auto" w:fill="FFFFFF"/>
                <w:lang w:bidi="ar"/>
              </w:rPr>
              <w:t>，这与申时行在朝局中的处境相呼应，进一步说明了晚明官场环境对官员决策和行为的深刻影响。</w:t>
            </w:r>
            <w:r>
              <w:rPr>
                <w:rStyle w:val="ad"/>
                <w:rFonts w:asciiTheme="minorEastAsia" w:hAnsiTheme="minorEastAsia" w:cstheme="minorEastAsia" w:hint="eastAsia"/>
                <w:kern w:val="0"/>
                <w:sz w:val="24"/>
                <w:shd w:val="clear" w:color="auto" w:fill="FFFFFF"/>
                <w:lang w:bidi="ar"/>
              </w:rPr>
              <w:t>[</w:t>
            </w:r>
            <w:r>
              <w:rPr>
                <w:rStyle w:val="ad"/>
                <w:rFonts w:asciiTheme="minorEastAsia" w:hAnsiTheme="minorEastAsia" w:cstheme="minorEastAsia" w:hint="eastAsia"/>
                <w:kern w:val="0"/>
                <w:sz w:val="24"/>
                <w:shd w:val="clear" w:color="auto" w:fill="FFFFFF"/>
                <w:lang w:bidi="ar"/>
              </w:rPr>
              <w:footnoteReference w:id="2"/>
            </w:r>
            <w:r>
              <w:rPr>
                <w:rStyle w:val="ad"/>
                <w:rFonts w:asciiTheme="minorEastAsia" w:hAnsiTheme="minorEastAsia" w:cstheme="minorEastAsia" w:hint="eastAsia"/>
                <w:kern w:val="0"/>
                <w:sz w:val="24"/>
                <w:shd w:val="clear" w:color="auto" w:fill="FFFFFF"/>
                <w:lang w:bidi="ar"/>
              </w:rPr>
              <w:t>]</w:t>
            </w:r>
          </w:p>
          <w:p w14:paraId="23878725" w14:textId="77777777" w:rsidR="001052FF" w:rsidRDefault="00EE2821">
            <w:pPr>
              <w:pStyle w:val="4"/>
              <w:widowControl/>
              <w:rPr>
                <w:rFonts w:asciiTheme="minorEastAsia" w:eastAsiaTheme="minorEastAsia" w:hAnsiTheme="minorEastAsia" w:cstheme="minorEastAsia" w:hint="default"/>
                <w:color w:val="40404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/>
                <w:color w:val="404040"/>
                <w:sz w:val="28"/>
                <w:szCs w:val="28"/>
              </w:rPr>
              <w:t>第三章：</w:t>
            </w:r>
            <w:r>
              <w:rPr>
                <w:rFonts w:asciiTheme="minorEastAsia" w:eastAsiaTheme="minorEastAsia" w:hAnsiTheme="minorEastAsia" w:cstheme="minorEastAsia"/>
                <w:color w:val="404040"/>
                <w:sz w:val="28"/>
                <w:szCs w:val="28"/>
              </w:rPr>
              <w:t>世间已无</w:t>
            </w:r>
            <w:r>
              <w:rPr>
                <w:rFonts w:asciiTheme="minorEastAsia" w:eastAsiaTheme="minorEastAsia" w:hAnsiTheme="minorEastAsia" w:cstheme="minorEastAsia"/>
                <w:color w:val="404040"/>
                <w:sz w:val="28"/>
                <w:szCs w:val="28"/>
              </w:rPr>
              <w:t>张居正</w:t>
            </w:r>
          </w:p>
          <w:p w14:paraId="2158505D" w14:textId="77777777" w:rsidR="001052FF" w:rsidRDefault="00EE2821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这一章从国本之争展开，万历试图废长立幼，改立宠妃郑贵妃之子为太子，却遭到文官集团的激烈抵制。从而导致持续多年的政治斗争，最终万历迫于压力，不得不立皇长子为太子，然而万历的叔祖正德皇帝却是一个不受礼法和百官约束的皇帝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,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但文官集团为了使后继之君不再任意妄为，“设法把皇帝引进他们所崇奉的规范里”，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[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footnoteReference w:id="3"/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 xml:space="preserve">]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所以万历从小接受的教育就是需要尊礼守法，到万历时已经不允许他擅作主张。万历虽名义上拥有至高权威，实则被道德伦理和官僚体制束缚，无法真正贯彻个人意志。此时的万历皇帝孤立无援，也无法改变和打破这种局面，皇帝和文官集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t>团陷入了一种僵局，此时更没有像张居正那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  <w:lang w:bidi="ar"/>
              </w:rPr>
              <w:lastRenderedPageBreak/>
              <w:t>样的能臣来打破僵局，在这种僵局之下，万历皇帝的消极抵抗折射出晚明皇权与官僚集团的博弈，也使明朝统治机器的弊端进一步显露。</w:t>
            </w:r>
          </w:p>
          <w:p w14:paraId="540FC2EC" w14:textId="77777777" w:rsidR="001052FF" w:rsidRDefault="001052FF"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  <w:p w14:paraId="7BB5A7FB" w14:textId="77777777" w:rsidR="001052FF" w:rsidRDefault="00EE2821">
            <w:pPr>
              <w:pStyle w:val="4"/>
              <w:widowControl/>
              <w:rPr>
                <w:rFonts w:asciiTheme="majorEastAsia" w:eastAsiaTheme="majorEastAsia" w:hAnsiTheme="majorEastAsia" w:cstheme="majorEastAsia" w:hint="default"/>
                <w:color w:val="4040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第四章：活着的祖宗</w:t>
            </w:r>
          </w:p>
          <w:p w14:paraId="02FA36A2" w14:textId="77777777" w:rsidR="001052FF" w:rsidRDefault="00EE2821">
            <w:pPr>
              <w:spacing w:line="360" w:lineRule="auto"/>
              <w:rPr>
                <w:rFonts w:asciiTheme="minorEastAsia" w:hAnsiTheme="minorEastAsia" w:cstheme="minorEastAsia"/>
                <w:color w:val="404040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这一章主要写了“</w:t>
            </w:r>
            <w:r>
              <w:rPr>
                <w:rFonts w:asciiTheme="minorEastAsia" w:hAnsiTheme="minorEastAsia" w:cstheme="minorEastAsia" w:hint="eastAsia"/>
                <w:sz w:val="24"/>
              </w:rPr>
              <w:t>申时行在</w:t>
            </w:r>
            <w:r>
              <w:rPr>
                <w:rFonts w:asciiTheme="minorEastAsia" w:hAnsiTheme="minorEastAsia" w:cstheme="minorEastAsia" w:hint="eastAsia"/>
                <w:sz w:val="24"/>
              </w:rPr>
              <w:t>文渊阁的八年半</w:t>
            </w:r>
            <w:r>
              <w:rPr>
                <w:rFonts w:asciiTheme="minorEastAsia" w:hAnsiTheme="minorEastAsia" w:cstheme="minorEastAsia" w:hint="eastAsia"/>
                <w:sz w:val="24"/>
              </w:rPr>
              <w:t>时间里并非</w:t>
            </w:r>
            <w:r>
              <w:rPr>
                <w:rFonts w:asciiTheme="minorEastAsia" w:hAnsiTheme="minorEastAsia" w:cstheme="minorEastAsia" w:hint="eastAsia"/>
                <w:sz w:val="24"/>
              </w:rPr>
              <w:t>完全</w:t>
            </w:r>
            <w:r>
              <w:rPr>
                <w:rFonts w:asciiTheme="minorEastAsia" w:hAnsiTheme="minorEastAsia" w:cstheme="minorEastAsia" w:hint="eastAsia"/>
                <w:sz w:val="24"/>
              </w:rPr>
              <w:t>尸位</w:t>
            </w:r>
            <w:r>
              <w:rPr>
                <w:rFonts w:asciiTheme="minorEastAsia" w:hAnsiTheme="minorEastAsia" w:cstheme="minorEastAsia" w:hint="eastAsia"/>
                <w:sz w:val="24"/>
              </w:rPr>
              <w:t>素餐</w:t>
            </w:r>
            <w:r>
              <w:rPr>
                <w:rFonts w:asciiTheme="minorEastAsia" w:hAnsiTheme="minorEastAsia" w:cstheme="minorEastAsia"/>
                <w:sz w:val="24"/>
              </w:rPr>
              <w:t>”</w:t>
            </w:r>
            <w:r>
              <w:rPr>
                <w:rFonts w:asciiTheme="minorEastAsia" w:hAnsiTheme="minorEastAsia" w:cstheme="minorEastAsia" w:hint="eastAsia"/>
                <w:sz w:val="24"/>
              </w:rPr>
              <w:t>,</w:t>
            </w:r>
            <w:r>
              <w:rPr>
                <w:rStyle w:val="ad"/>
                <w:rFonts w:asciiTheme="minorEastAsia" w:hAnsiTheme="minorEastAsia" w:cstheme="minorEastAsia" w:hint="eastAsia"/>
                <w:sz w:val="24"/>
              </w:rPr>
              <w:t>[</w:t>
            </w:r>
            <w:r>
              <w:rPr>
                <w:rStyle w:val="ad"/>
                <w:rFonts w:asciiTheme="minorEastAsia" w:hAnsiTheme="minorEastAsia" w:cstheme="minorEastAsia" w:hint="eastAsia"/>
                <w:sz w:val="24"/>
              </w:rPr>
              <w:footnoteReference w:id="4"/>
            </w:r>
            <w:r>
              <w:rPr>
                <w:rStyle w:val="ad"/>
                <w:rFonts w:asciiTheme="minorEastAsia" w:hAnsiTheme="minorEastAsia" w:cstheme="minorEastAsia" w:hint="eastAsia"/>
                <w:sz w:val="24"/>
              </w:rPr>
              <w:t>]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在面对黄河泛滥时用人得当，黄河水患得到有效治理。在面对边关冲突，多数文官主张发动战争时，申时行经过分析提出不宜轻启战端，并获得皇帝的支持，从而避免了一场以国运为赌注的战争，在立储问题上，申时行也是见微知著，在万历的宠妃诞下皇子时就提议立嫡长子为太子，同时申时行也有一些过错，在处理皇帝和文官集团的冲突时充做和事佬</w:t>
            </w:r>
            <w:r>
              <w:rPr>
                <w:rFonts w:asciiTheme="minorEastAsia" w:hAnsiTheme="minorEastAsia" w:cstheme="minorEastAsia" w:hint="eastAsia"/>
                <w:sz w:val="24"/>
              </w:rPr>
              <w:t>，</w:t>
            </w:r>
            <w:r>
              <w:rPr>
                <w:rFonts w:asciiTheme="minorEastAsia" w:hAnsiTheme="minorEastAsia" w:cstheme="minorEastAsia" w:hint="eastAsia"/>
                <w:sz w:val="24"/>
              </w:rPr>
              <w:t>不能解决根本问题。</w:t>
            </w:r>
          </w:p>
          <w:p w14:paraId="540E8E70" w14:textId="77777777" w:rsidR="001052FF" w:rsidRDefault="00EE2821">
            <w:pPr>
              <w:spacing w:line="360" w:lineRule="auto"/>
              <w:rPr>
                <w:rFonts w:asciiTheme="minorEastAsia" w:hAnsiTheme="minorEastAsia" w:cstheme="minorEastAsia"/>
                <w:color w:val="404040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在面对女真部落崛起时，他</w:t>
            </w:r>
            <w:r>
              <w:rPr>
                <w:rFonts w:asciiTheme="minorEastAsia" w:hAnsiTheme="minorEastAsia" w:cstheme="minorEastAsia" w:hint="eastAsia"/>
                <w:sz w:val="24"/>
              </w:rPr>
              <w:t>却</w:t>
            </w:r>
            <w:r>
              <w:rPr>
                <w:rFonts w:asciiTheme="minorEastAsia" w:hAnsiTheme="minorEastAsia" w:cstheme="minorEastAsia" w:hint="eastAsia"/>
                <w:sz w:val="24"/>
              </w:rPr>
              <w:t>认为这是一件小事，若干年后</w:t>
            </w:r>
            <w:r>
              <w:rPr>
                <w:rFonts w:asciiTheme="minorEastAsia" w:hAnsiTheme="minorEastAsia" w:cstheme="minorEastAsia" w:hint="eastAsia"/>
                <w:sz w:val="24"/>
              </w:rPr>
              <w:t>，</w:t>
            </w:r>
            <w:r>
              <w:rPr>
                <w:rFonts w:asciiTheme="minorEastAsia" w:hAnsiTheme="minorEastAsia" w:cstheme="minorEastAsia" w:hint="eastAsia"/>
                <w:sz w:val="24"/>
              </w:rPr>
              <w:t>崛起的女真部落挥师入关，直接导致了大明王朝的覆灭。</w:t>
            </w:r>
          </w:p>
          <w:p w14:paraId="4D7B3143" w14:textId="77777777" w:rsidR="001052FF" w:rsidRDefault="00EE2821">
            <w:pPr>
              <w:pStyle w:val="4"/>
              <w:widowControl/>
              <w:rPr>
                <w:rFonts w:asciiTheme="majorEastAsia" w:eastAsiaTheme="majorEastAsia" w:hAnsiTheme="majorEastAsia" w:cstheme="majorEastAsia" w:hint="default"/>
                <w:color w:val="4040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第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五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章：海瑞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——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古怪的模范官僚</w:t>
            </w:r>
          </w:p>
          <w:p w14:paraId="0A1DA844" w14:textId="77777777" w:rsidR="001052FF" w:rsidRDefault="00EE2821">
            <w:pPr>
              <w:pStyle w:val="a9"/>
              <w:widowControl/>
              <w:spacing w:line="360" w:lineRule="auto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海瑞是以清廉</w:t>
            </w:r>
            <w:r>
              <w:rPr>
                <w:rFonts w:asciiTheme="minorEastAsia" w:hAnsiTheme="minorEastAsia" w:cstheme="minorEastAsia" w:hint="eastAsia"/>
              </w:rPr>
              <w:t>闻名</w:t>
            </w:r>
            <w:r>
              <w:rPr>
                <w:rFonts w:asciiTheme="minorEastAsia" w:hAnsiTheme="minorEastAsia" w:cstheme="minorEastAsia" w:hint="eastAsia"/>
              </w:rPr>
              <w:t>的</w:t>
            </w:r>
            <w:r>
              <w:rPr>
                <w:rFonts w:asciiTheme="minorEastAsia" w:hAnsiTheme="minorEastAsia" w:cstheme="minorEastAsia" w:hint="eastAsia"/>
              </w:rPr>
              <w:t>明朝</w:t>
            </w:r>
            <w:r>
              <w:rPr>
                <w:rFonts w:asciiTheme="minorEastAsia" w:hAnsiTheme="minorEastAsia" w:cstheme="minorEastAsia" w:hint="eastAsia"/>
              </w:rPr>
              <w:t>官员，他在官场上的</w:t>
            </w:r>
            <w:r>
              <w:rPr>
                <w:rFonts w:asciiTheme="minorEastAsia" w:hAnsiTheme="minorEastAsia" w:cstheme="minorEastAsia" w:hint="eastAsia"/>
              </w:rPr>
              <w:t>各</w:t>
            </w:r>
            <w:r>
              <w:rPr>
                <w:rFonts w:asciiTheme="minorEastAsia" w:hAnsiTheme="minorEastAsia" w:cstheme="minorEastAsia" w:hint="eastAsia"/>
              </w:rPr>
              <w:t>种经历被作者用来说明传统儒家理想与政治现实之间的巨大</w:t>
            </w:r>
            <w:r>
              <w:rPr>
                <w:rFonts w:asciiTheme="minorEastAsia" w:hAnsiTheme="minorEastAsia" w:cstheme="minorEastAsia" w:hint="eastAsia"/>
              </w:rPr>
              <w:t>差异</w:t>
            </w:r>
            <w:r>
              <w:rPr>
                <w:rFonts w:asciiTheme="minorEastAsia" w:hAnsiTheme="minorEastAsia" w:cstheme="minorEastAsia" w:hint="eastAsia"/>
              </w:rPr>
              <w:t>。海瑞以刚直不阿而</w:t>
            </w:r>
            <w:r>
              <w:rPr>
                <w:rFonts w:asciiTheme="minorEastAsia" w:hAnsiTheme="minorEastAsia" w:cstheme="minorEastAsia" w:hint="eastAsia"/>
              </w:rPr>
              <w:t>出名</w:t>
            </w:r>
            <w:r>
              <w:rPr>
                <w:rFonts w:asciiTheme="minorEastAsia" w:hAnsiTheme="minorEastAsia" w:cstheme="minorEastAsia" w:hint="eastAsia"/>
              </w:rPr>
              <w:t>，敢于直言进谏、弹劾权贵，甚至曾上疏抨击嘉靖皇帝。这种道德楷模式的行为在当时引起了很大轰动，</w:t>
            </w:r>
            <w:r>
              <w:rPr>
                <w:rFonts w:asciiTheme="minorEastAsia" w:hAnsiTheme="minorEastAsia" w:cstheme="minorEastAsia" w:hint="eastAsia"/>
              </w:rPr>
              <w:t>所以</w:t>
            </w:r>
            <w:r>
              <w:rPr>
                <w:rFonts w:asciiTheme="minorEastAsia" w:hAnsiTheme="minorEastAsia" w:cstheme="minorEastAsia" w:hint="eastAsia"/>
              </w:rPr>
              <w:t>部分人视他为坚守正义的典范，也有人认为他过于刚愎，忽视了政治操作的实际效果。本章详细描述了海瑞在地方治理中的方法，如</w:t>
            </w:r>
            <w:r>
              <w:rPr>
                <w:rFonts w:asciiTheme="minorEastAsia" w:hAnsiTheme="minorEastAsia" w:cstheme="minorEastAsia" w:hint="eastAsia"/>
              </w:rPr>
              <w:t>打击</w:t>
            </w:r>
            <w:r>
              <w:rPr>
                <w:rFonts w:asciiTheme="minorEastAsia" w:hAnsiTheme="minorEastAsia" w:cstheme="minorEastAsia" w:hint="eastAsia"/>
              </w:rPr>
              <w:t>贪污、提倡勤俭等，表面看</w:t>
            </w:r>
            <w:r>
              <w:rPr>
                <w:rFonts w:asciiTheme="minorEastAsia" w:hAnsiTheme="minorEastAsia" w:cstheme="minorEastAsia" w:hint="eastAsia"/>
              </w:rPr>
              <w:t>上去很</w:t>
            </w:r>
            <w:r>
              <w:rPr>
                <w:rFonts w:asciiTheme="minorEastAsia" w:hAnsiTheme="minorEastAsia" w:cstheme="minorEastAsia" w:hint="eastAsia"/>
              </w:rPr>
              <w:t>高效，却往往因为违背人情关系和社会</w:t>
            </w:r>
            <w:r>
              <w:rPr>
                <w:rFonts w:asciiTheme="minorEastAsia" w:hAnsiTheme="minorEastAsia" w:cstheme="minorEastAsia" w:hint="eastAsia"/>
              </w:rPr>
              <w:t>规则</w:t>
            </w:r>
            <w:r>
              <w:rPr>
                <w:rFonts w:asciiTheme="minorEastAsia" w:hAnsiTheme="minorEastAsia" w:cstheme="minorEastAsia" w:hint="eastAsia"/>
              </w:rPr>
              <w:t>而无法</w:t>
            </w:r>
            <w:r>
              <w:rPr>
                <w:rFonts w:asciiTheme="minorEastAsia" w:hAnsiTheme="minorEastAsia" w:cstheme="minorEastAsia" w:hint="eastAsia"/>
              </w:rPr>
              <w:t>持久</w:t>
            </w:r>
            <w:r>
              <w:rPr>
                <w:rFonts w:asciiTheme="minorEastAsia" w:hAnsiTheme="minorEastAsia" w:cstheme="minorEastAsia" w:hint="eastAsia"/>
              </w:rPr>
              <w:t>。</w:t>
            </w:r>
            <w:r>
              <w:rPr>
                <w:rFonts w:asciiTheme="minorEastAsia" w:hAnsiTheme="minorEastAsia" w:cstheme="minorEastAsia" w:hint="eastAsia"/>
              </w:rPr>
              <w:t>文章通</w:t>
            </w:r>
            <w:r>
              <w:rPr>
                <w:rFonts w:asciiTheme="minorEastAsia" w:hAnsiTheme="minorEastAsia" w:cstheme="minorEastAsia" w:hint="eastAsia"/>
              </w:rPr>
              <w:t>过海瑞的案例，指出在明代官僚体系和社会中，理想主义很容易陷入孤立无援的局面</w:t>
            </w:r>
            <w:r>
              <w:rPr>
                <w:rFonts w:asciiTheme="minorEastAsia" w:hAnsiTheme="minorEastAsia" w:cstheme="minorEastAsia" w:hint="eastAsia"/>
              </w:rPr>
              <w:t>，“</w:t>
            </w:r>
            <w:r>
              <w:rPr>
                <w:rFonts w:asciiTheme="minorEastAsia" w:hAnsiTheme="minorEastAsia" w:cstheme="minorEastAsia" w:hint="eastAsia"/>
              </w:rPr>
              <w:t>其结果是，个人道德之长，扔不能补救</w:t>
            </w:r>
            <w:r>
              <w:rPr>
                <w:rFonts w:asciiTheme="minorEastAsia" w:hAnsiTheme="minorEastAsia" w:cstheme="minorEastAsia" w:hint="eastAsia"/>
              </w:rPr>
              <w:t>组织和技术之短”，</w:t>
            </w:r>
            <w:r>
              <w:rPr>
                <w:rStyle w:val="ad"/>
                <w:rFonts w:asciiTheme="minorEastAsia" w:hAnsiTheme="minorEastAsia" w:cstheme="minorEastAsia" w:hint="eastAsia"/>
              </w:rPr>
              <w:t>[</w:t>
            </w:r>
            <w:r>
              <w:rPr>
                <w:rStyle w:val="ad"/>
                <w:rFonts w:asciiTheme="minorEastAsia" w:hAnsiTheme="minorEastAsia" w:cstheme="minorEastAsia" w:hint="eastAsia"/>
              </w:rPr>
              <w:footnoteReference w:id="5"/>
            </w:r>
            <w:r>
              <w:rPr>
                <w:rStyle w:val="ad"/>
                <w:rFonts w:asciiTheme="minorEastAsia" w:hAnsiTheme="minorEastAsia" w:cstheme="minorEastAsia" w:hint="eastAsia"/>
              </w:rPr>
              <w:t>]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海瑞虽然彰显了道德与廉洁的重要性，但最终也难以撼动整个朝廷的积弊。</w:t>
            </w:r>
          </w:p>
          <w:p w14:paraId="2ECCF2C6" w14:textId="77777777" w:rsidR="001052FF" w:rsidRDefault="00EE2821">
            <w:pPr>
              <w:pStyle w:val="4"/>
              <w:widowControl/>
              <w:rPr>
                <w:rFonts w:asciiTheme="majorEastAsia" w:eastAsiaTheme="majorEastAsia" w:hAnsiTheme="majorEastAsia" w:cstheme="majorEastAsia" w:hint="default"/>
                <w:color w:val="4040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第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六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章：戚继光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——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孤独的将领</w:t>
            </w:r>
          </w:p>
          <w:p w14:paraId="078A6702" w14:textId="77777777" w:rsidR="001052FF" w:rsidRDefault="00EE2821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这一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章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主要写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明代著名的军事将领戚继光，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过他在抗倭和边防建设上的种种经历，来说明当时明朝军事与行政体制的弊端。戚继光曾在东南沿海成功抵御倭寇，后来又被调往北方镇守边关。他在练兵、建堡以及制定军纪方面颇有建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树，但也频频遭到地方官僚的掣肘。本章强调戚继光的实干精神和改革意识，尤其是在训练士兵、改良武器装备和整顿军纪方面的作为，都代表了当时少数能吏干臣试图改变颓势的努力。然而，戚继光的军事成就并没有得到朝廷充分且持续的支持，他后期反而遭到排挤，仕途坎坷。这不仅体现了明朝末年内部政治斗争的激烈，也展示了整个军事体系由于缺乏长远规划和坚实财政基础，难以为将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领提供稳定的后盾。作者借此让读者看到，当时局势的糟糕并非完全源于缺乏人才，而是制度和环境令许多有志之士难以施展。</w:t>
            </w:r>
          </w:p>
          <w:p w14:paraId="639E595E" w14:textId="77777777" w:rsidR="001052FF" w:rsidRDefault="00EE2821">
            <w:pPr>
              <w:pStyle w:val="4"/>
              <w:widowControl/>
              <w:rPr>
                <w:rFonts w:asciiTheme="majorEastAsia" w:eastAsiaTheme="majorEastAsia" w:hAnsiTheme="majorEastAsia" w:cstheme="majorEastAsia" w:hint="default"/>
                <w:color w:val="40404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第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七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章：李贽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——</w:t>
            </w:r>
            <w:r>
              <w:rPr>
                <w:rFonts w:asciiTheme="majorEastAsia" w:eastAsiaTheme="majorEastAsia" w:hAnsiTheme="majorEastAsia" w:cstheme="majorEastAsia"/>
                <w:color w:val="404040"/>
                <w:sz w:val="28"/>
                <w:szCs w:val="28"/>
              </w:rPr>
              <w:t>自相冲突的哲学家</w:t>
            </w:r>
          </w:p>
          <w:p w14:paraId="4CD75A57" w14:textId="77777777" w:rsidR="001052FF" w:rsidRDefault="00EE2821">
            <w:pPr>
              <w:widowControl/>
              <w:spacing w:line="360" w:lineRule="auto"/>
              <w:jc w:val="left"/>
              <w:rPr>
                <w:rFonts w:ascii="华康宋体W7" w:eastAsia="华康宋体W7" w:hAnsi="华康宋体W7" w:cs="华康宋体W7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哲学家李贽以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批判精神和大胆言论著称，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且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与传统儒家教条形成强烈对比。李贽的思想打破了很多当时人们普遍接受的观念，他对儒家经典进行质疑，认为应当鼓励更自由的思考。通过李贽的遭遇，反映了晚明知识分子在社会思潮逐渐开放和思想审查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越来越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严苛的双重影响下，所面临的冲突与抉择。李贽的著作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多次遭到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查禁，他本人也在政治压力与学术追求之间饱受煎熬，最终以悲剧收场。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文章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借此揭示了明末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知识界的活力与困境：一方面思想开始活跃，另一方面却遭到体制严密的管控。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正如书中所说“在道德的旌旗下，拘谨和雷同被视为高尚的教养，虚伪和欺诈成为官僚生活中不可分离的组成部分”。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footnoteReference w:id="6"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]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李贽的出现，也标志着封建社会后期在思想领域里的一次不平凡的尝试。</w:t>
            </w:r>
          </w:p>
        </w:tc>
      </w:tr>
      <w:tr w:rsidR="001052FF" w14:paraId="68C3867A" w14:textId="77777777">
        <w:trPr>
          <w:cantSplit/>
          <w:trHeight w:val="460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46EF635B" w14:textId="77777777" w:rsidR="001052FF" w:rsidRDefault="00EE2821">
            <w:pPr>
              <w:pStyle w:val="Ae"/>
              <w:snapToGrid w:val="0"/>
              <w:spacing w:line="240" w:lineRule="auto"/>
              <w:rPr>
                <w:rFonts w:ascii="华康宋体W7" w:eastAsia="华康宋体W7" w:hAnsi="华康宋体W7" w:cs="华康宋体W7"/>
              </w:rPr>
            </w:pP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36"/>
              </w:rPr>
              <w:lastRenderedPageBreak/>
              <w:t>心得体会：（不少于</w:t>
            </w: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36"/>
              </w:rPr>
              <w:t>1000</w:t>
            </w: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36"/>
              </w:rPr>
              <w:t>字）总分</w:t>
            </w:r>
            <w:r>
              <w:rPr>
                <w:rFonts w:ascii="STFangsong" w:eastAsia="STFangsong" w:hAnsi="STFangsong" w:cs="STFangsong"/>
                <w:b/>
                <w:bCs/>
                <w:sz w:val="28"/>
                <w:szCs w:val="36"/>
              </w:rPr>
              <w:t>6</w:t>
            </w:r>
            <w:r>
              <w:rPr>
                <w:rFonts w:ascii="STFangsong" w:eastAsia="STFangsong" w:hAnsi="STFangsong" w:cs="STFangsong" w:hint="eastAsia"/>
                <w:b/>
                <w:bCs/>
                <w:sz w:val="28"/>
                <w:szCs w:val="36"/>
              </w:rPr>
              <w:t>0</w:t>
            </w:r>
          </w:p>
        </w:tc>
      </w:tr>
      <w:tr w:rsidR="001052FF" w14:paraId="661B9A88" w14:textId="77777777">
        <w:trPr>
          <w:cantSplit/>
          <w:trHeight w:val="1257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6FAC6002" w14:textId="77777777" w:rsidR="001052FF" w:rsidRDefault="00EE2821">
            <w:pPr>
              <w:pStyle w:val="a9"/>
              <w:widowControl/>
              <w:spacing w:line="360" w:lineRule="auto"/>
              <w:rPr>
                <w:rFonts w:asciiTheme="minorEastAsia" w:hAnsiTheme="minorEastAsia" w:cstheme="minorEastAsia"/>
                <w:color w:val="40404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lastRenderedPageBreak/>
              <w:t>读完《万历十五年》，给我比较深的感受是：明朝的这段历史并不是英雄的故事，而是普通人在制度牢笼中的集体困局。黄仁宇用他的笔触，经过对六个历史人物的分析，让我看到明朝灭亡的必然性——这不是某个人的错误，而是整个封建统治系统的失败。</w:t>
            </w:r>
          </w:p>
          <w:p w14:paraId="42EC2E34" w14:textId="77777777" w:rsidR="001052FF" w:rsidRDefault="00EE2821">
            <w:pPr>
              <w:pStyle w:val="a9"/>
              <w:widowControl/>
              <w:spacing w:line="360" w:lineRule="auto"/>
              <w:rPr>
                <w:rFonts w:ascii="Helvetica Neue" w:eastAsia="Helvetica Neue" w:hAnsi="Helvetica Neue" w:cs="Helvetica Neue"/>
                <w:color w:val="404040"/>
                <w:sz w:val="32"/>
                <w:szCs w:val="32"/>
              </w:rPr>
            </w:pPr>
            <w:r>
              <w:rPr>
                <w:rStyle w:val="ab"/>
                <w:rFonts w:asciiTheme="majorEastAsia" w:eastAsiaTheme="majorEastAsia" w:hAnsiTheme="majorEastAsia" w:cstheme="majorEastAsia" w:hint="eastAsia"/>
                <w:color w:val="404040"/>
                <w:sz w:val="28"/>
                <w:szCs w:val="28"/>
              </w:rPr>
              <w:t>道德绑架下的集体表演</w:t>
            </w:r>
            <w:r>
              <w:rPr>
                <w:rFonts w:ascii="Helvetica Neue" w:eastAsia="Helvetica Neue" w:hAnsi="Helvetica Neue" w:cs="Helvetica Neue"/>
                <w:color w:val="404040"/>
                <w:sz w:val="32"/>
                <w:szCs w:val="32"/>
              </w:rPr>
              <w:br/>
            </w:r>
            <w:r>
              <w:rPr>
                <w:rFonts w:ascii="宋体" w:eastAsia="宋体" w:hAnsi="宋体" w:cs="宋体" w:hint="eastAsia"/>
                <w:lang w:bidi="ar"/>
              </w:rPr>
              <w:t>书中的官员们嘴上喊着仁义道德，私下却贪污腐败。比如海瑞一生清廉，但他的极端反而成了官场的反面教材——没人想成为他，但所有人都在赞颂他。这种虚伪像病毒一样蔓延，连皇帝也不能幸免。万历曾想励精图治，但文官们用“祖宗之法”“天道伦理”把他捆得动弹不得。到最后，他连选择继承人的权利都没有，只能消极抵抗。这让我想到今天的“形式主义”：有些单位天天喊口号、写报告，实际工作却流于表面。历史似乎在循环，只是换了个舞台。</w:t>
            </w:r>
          </w:p>
          <w:p w14:paraId="79B555EE" w14:textId="77777777" w:rsidR="001052FF" w:rsidRDefault="00EE2821">
            <w:pPr>
              <w:pStyle w:val="a9"/>
              <w:widowControl/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Style w:val="ab"/>
                <w:rFonts w:asciiTheme="majorEastAsia" w:eastAsiaTheme="majorEastAsia" w:hAnsiTheme="majorEastAsia" w:cstheme="majorEastAsia" w:hint="eastAsia"/>
                <w:color w:val="404040"/>
                <w:sz w:val="28"/>
                <w:szCs w:val="28"/>
              </w:rPr>
              <w:t>个人在体制前的无力感</w:t>
            </w:r>
            <w:r>
              <w:rPr>
                <w:rFonts w:ascii="Helvetica Neue" w:eastAsia="Helvetica Neue" w:hAnsi="Helvetica Neue" w:cs="Helvetica Neue"/>
                <w:color w:val="404040"/>
                <w:sz w:val="32"/>
                <w:szCs w:val="32"/>
              </w:rPr>
              <w:br/>
            </w:r>
            <w:r>
              <w:rPr>
                <w:rFonts w:ascii="宋体" w:eastAsia="宋体" w:hAnsi="宋体" w:cs="宋体" w:hint="eastAsia"/>
                <w:lang w:bidi="ar"/>
              </w:rPr>
              <w:t>书里的每个人都在试图破局，但全都失败了。张居正用强权改革，死后却被反攻倒算；戚继光</w:t>
            </w:r>
            <w:r>
              <w:rPr>
                <w:rFonts w:ascii="宋体" w:eastAsia="宋体" w:hAnsi="宋体" w:cs="宋体" w:hint="eastAsia"/>
                <w:lang w:bidi="ar"/>
              </w:rPr>
              <w:t>靠贿赂推动军事创新，最终仍被抛弃；李贽想唤醒思想自由，结果被定为异端。最让人唏嘘的是申时行——他明虽然看透了问题，却只能当个和事佬。这像极了现代职场：一个员工再有能力，若不懂办公室政治，要么被排挤，要么被同化。</w:t>
            </w:r>
          </w:p>
          <w:p w14:paraId="3CAE91E2" w14:textId="77777777" w:rsidR="001052FF" w:rsidRDefault="00EE2821">
            <w:pPr>
              <w:pStyle w:val="a9"/>
              <w:widowControl/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Style w:val="ab"/>
                <w:rFonts w:asciiTheme="majorEastAsia" w:eastAsiaTheme="majorEastAsia" w:hAnsiTheme="majorEastAsia" w:cstheme="majorEastAsia" w:hint="eastAsia"/>
                <w:color w:val="404040"/>
                <w:sz w:val="28"/>
                <w:szCs w:val="28"/>
              </w:rPr>
              <w:t>“躺平”的</w:t>
            </w:r>
            <w:r>
              <w:rPr>
                <w:rStyle w:val="ab"/>
                <w:rFonts w:asciiTheme="majorEastAsia" w:eastAsiaTheme="majorEastAsia" w:hAnsiTheme="majorEastAsia" w:cstheme="majorEastAsia" w:hint="eastAsia"/>
                <w:color w:val="404040"/>
                <w:sz w:val="28"/>
                <w:szCs w:val="28"/>
              </w:rPr>
              <w:t>皇帝</w:t>
            </w:r>
            <w:r>
              <w:rPr>
                <w:rStyle w:val="ab"/>
                <w:rFonts w:asciiTheme="majorEastAsia" w:eastAsiaTheme="majorEastAsia" w:hAnsiTheme="majorEastAsia" w:cstheme="majorEastAsia" w:hint="eastAsia"/>
                <w:color w:val="404040"/>
                <w:sz w:val="28"/>
                <w:szCs w:val="28"/>
              </w:rPr>
              <w:t>与觉醒的可能</w:t>
            </w:r>
            <w:r>
              <w:rPr>
                <w:rFonts w:ascii="Helvetica Neue" w:eastAsia="Helvetica Neue" w:hAnsi="Helvetica Neue" w:cs="Helvetica Neue"/>
                <w:color w:val="404040"/>
                <w:sz w:val="32"/>
                <w:szCs w:val="32"/>
              </w:rPr>
              <w:br/>
            </w:r>
            <w:r>
              <w:rPr>
                <w:rFonts w:ascii="宋体" w:eastAsia="宋体" w:hAnsi="宋体" w:cs="宋体" w:hint="eastAsia"/>
                <w:lang w:bidi="ar"/>
              </w:rPr>
              <w:t>万历皇帝的躺平让我心有所思。他年轻时也曾热血，后来发现努力毫无意义，索性躲进深宫。这很像当代年轻人的“摆烂”？但书中另一个人物给了我希望：李贽的思想虽然被镇压，却在后世激起回响。今天的我们或许不必像他一样撞得头破血流，但至少可以保持独立思考。</w:t>
            </w:r>
          </w:p>
          <w:p w14:paraId="101F5FD9" w14:textId="77777777" w:rsidR="001052FF" w:rsidRDefault="00EE2821">
            <w:pPr>
              <w:pStyle w:val="a9"/>
              <w:widowControl/>
              <w:spacing w:line="360" w:lineRule="auto"/>
              <w:rPr>
                <w:rFonts w:asciiTheme="minorEastAsia" w:hAnsiTheme="minorEastAsia" w:cstheme="minorEastAsia"/>
                <w:color w:val="404040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读完这本书后，我一直猜想一个</w:t>
            </w:r>
            <w:r>
              <w:rPr>
                <w:rFonts w:ascii="宋体" w:eastAsia="宋体" w:hAnsi="宋体" w:cs="宋体" w:hint="eastAsia"/>
                <w:lang w:bidi="ar"/>
              </w:rPr>
              <w:t>问题：如果张居正改革成功了，明朝还会延续吗？答案可能是否定的。因为制度不改，只换几个人，无非是延缓死亡时间。就像一棵树，若根系已经腐烂，修剪枝叶又有何用？这本书让我认识到：看历史不能只看王侯将相，更要看土壤与气候——而改变土壤，远比歌颂英雄更难，也更重要</w:t>
            </w:r>
            <w:r>
              <w:rPr>
                <w:rFonts w:asciiTheme="minorEastAsia" w:hAnsiTheme="minorEastAsia" w:cstheme="minorEastAsia" w:hint="eastAsia"/>
                <w:color w:val="404040"/>
              </w:rPr>
              <w:t>。</w:t>
            </w:r>
          </w:p>
          <w:p w14:paraId="1EACCC05" w14:textId="77777777" w:rsidR="001052FF" w:rsidRDefault="00EE2821">
            <w:pPr>
              <w:widowControl/>
              <w:spacing w:line="360" w:lineRule="auto"/>
              <w:jc w:val="left"/>
              <w:rPr>
                <w:rFonts w:ascii="华康宋体W7" w:eastAsia="华康宋体W7" w:hAnsi="华康宋体W7" w:cs="华康宋体W7"/>
              </w:rPr>
            </w:pPr>
            <w:r>
              <w:rPr>
                <w:rStyle w:val="ab"/>
                <w:rFonts w:asciiTheme="majorEastAsia" w:eastAsiaTheme="majorEastAsia" w:hAnsiTheme="majorEastAsia" w:cstheme="majorEastAsia" w:hint="eastAsia"/>
                <w:color w:val="404040"/>
                <w:sz w:val="28"/>
                <w:szCs w:val="28"/>
              </w:rPr>
              <w:lastRenderedPageBreak/>
              <w:t>历史照进现实的反思</w:t>
            </w:r>
            <w:r>
              <w:rPr>
                <w:rFonts w:ascii="Helvetica Neue" w:eastAsia="Helvetica Neue" w:hAnsi="Helvetica Neue" w:cs="Helvetica Neue"/>
                <w:color w:val="404040"/>
                <w:sz w:val="32"/>
                <w:szCs w:val="32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经过对书中各类人物的剖析，让我联想到今天的某些现象：比如用道德批判代替法律审判，或者用集体荣誉掩盖个体诉求。万历年间，文官集团用“孝道”逼皇帝就范；现在网上也有人用“爱国”绑架他人选择。四百年过去，我们依然在用非黑即白的思维处理复杂问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题。也使我想到现在的职场困境，哪个公司没有自己的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祖宗之法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"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？哪个组织没有形式主义的流程？万历十五年的故事在提醒我们：当系统开始用道德绑架代替理性运作，用表面和谐掩盖实质矛盾，离危机爆发就不远了。历史不会简单重复，但总会押着相似的韵脚。这本书最珍贵的地方，就是让我们在古人身上看见自己的影子。</w:t>
            </w:r>
          </w:p>
        </w:tc>
      </w:tr>
    </w:tbl>
    <w:p w14:paraId="4C042E85" w14:textId="77777777" w:rsidR="001052FF" w:rsidRDefault="00EE2821">
      <w:pPr>
        <w:rPr>
          <w:rFonts w:asciiTheme="minorEastAsia" w:hAnsiTheme="minorEastAsia" w:cstheme="minorEastAsia"/>
        </w:rPr>
      </w:pPr>
      <w:r>
        <w:rPr>
          <w:rStyle w:val="ac"/>
          <w:rFonts w:asciiTheme="minorEastAsia" w:hAnsiTheme="minorEastAsia" w:cstheme="minorEastAsia" w:hint="eastAsia"/>
        </w:rPr>
        <w:t>[</w:t>
      </w:r>
      <w:r>
        <w:rPr>
          <w:rStyle w:val="ac"/>
          <w:rFonts w:asciiTheme="minorEastAsia" w:hAnsiTheme="minorEastAsia" w:cstheme="minorEastAsia" w:hint="eastAsia"/>
        </w:rPr>
        <w:endnoteReference w:id="1"/>
      </w:r>
      <w:r>
        <w:rPr>
          <w:rStyle w:val="ac"/>
          <w:rFonts w:asciiTheme="minorEastAsia" w:hAnsiTheme="minorEastAsia" w:cstheme="minorEastAsia" w:hint="eastAsia"/>
        </w:rPr>
        <w:t>][</w:t>
      </w:r>
      <w:r>
        <w:rPr>
          <w:rStyle w:val="ac"/>
          <w:rFonts w:asciiTheme="minorEastAsia" w:hAnsiTheme="minorEastAsia" w:cstheme="minorEastAsia" w:hint="eastAsia"/>
        </w:rPr>
        <w:endnoteReference w:id="2"/>
      </w:r>
      <w:r>
        <w:rPr>
          <w:rStyle w:val="ac"/>
          <w:rFonts w:asciiTheme="minorEastAsia" w:hAnsiTheme="minorEastAsia" w:cstheme="minorEastAsia" w:hint="eastAsia"/>
        </w:rPr>
        <w:t>][</w:t>
      </w:r>
      <w:r>
        <w:rPr>
          <w:rStyle w:val="ac"/>
          <w:rFonts w:asciiTheme="minorEastAsia" w:hAnsiTheme="minorEastAsia" w:cstheme="minorEastAsia" w:hint="eastAsia"/>
        </w:rPr>
        <w:endnoteReference w:id="3"/>
      </w:r>
      <w:r>
        <w:rPr>
          <w:rStyle w:val="ac"/>
          <w:rFonts w:asciiTheme="minorEastAsia" w:hAnsiTheme="minorEastAsia" w:cstheme="minorEastAsia" w:hint="eastAsia"/>
        </w:rPr>
        <w:t>][</w:t>
      </w:r>
      <w:r>
        <w:rPr>
          <w:rStyle w:val="ac"/>
          <w:rFonts w:asciiTheme="minorEastAsia" w:hAnsiTheme="minorEastAsia" w:cstheme="minorEastAsia" w:hint="eastAsia"/>
        </w:rPr>
        <w:endnoteReference w:id="4"/>
      </w:r>
      <w:r>
        <w:rPr>
          <w:rStyle w:val="ac"/>
          <w:rFonts w:asciiTheme="minorEastAsia" w:hAnsiTheme="minorEastAsia" w:cstheme="minorEastAsia" w:hint="eastAsia"/>
        </w:rPr>
        <w:t>][</w:t>
      </w:r>
      <w:r>
        <w:rPr>
          <w:rStyle w:val="ac"/>
          <w:rFonts w:asciiTheme="minorEastAsia" w:hAnsiTheme="minorEastAsia" w:cstheme="minorEastAsia" w:hint="eastAsia"/>
        </w:rPr>
        <w:endnoteReference w:id="5"/>
      </w:r>
      <w:r>
        <w:rPr>
          <w:rStyle w:val="ac"/>
          <w:rFonts w:asciiTheme="minorEastAsia" w:hAnsiTheme="minorEastAsia" w:cstheme="minorEastAsia" w:hint="eastAsia"/>
        </w:rPr>
        <w:t>][</w:t>
      </w:r>
      <w:r>
        <w:rPr>
          <w:rStyle w:val="ac"/>
          <w:rFonts w:asciiTheme="minorEastAsia" w:hAnsiTheme="minorEastAsia" w:cstheme="minorEastAsia" w:hint="eastAsia"/>
        </w:rPr>
        <w:endnoteReference w:id="6"/>
      </w:r>
      <w:r>
        <w:rPr>
          <w:rStyle w:val="ac"/>
          <w:rFonts w:asciiTheme="minorEastAsia" w:hAnsiTheme="minorEastAsia" w:cstheme="minorEastAsia" w:hint="eastAsia"/>
        </w:rPr>
        <w:t>]</w:t>
      </w:r>
    </w:p>
    <w:sectPr w:rsidR="001052FF">
      <w:endnotePr>
        <w:numFmt w:val="decimal"/>
      </w:endnotePr>
      <w:type w:val="continuous"/>
      <w:pgSz w:w="11906" w:h="16838"/>
      <w:pgMar w:top="873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253CB" w14:textId="77777777" w:rsidR="00EE2821" w:rsidRDefault="00EE2821">
      <w:r>
        <w:separator/>
      </w:r>
    </w:p>
  </w:endnote>
  <w:endnote w:type="continuationSeparator" w:id="0">
    <w:p w14:paraId="227F98D5" w14:textId="77777777" w:rsidR="00EE2821" w:rsidRDefault="00EE2821">
      <w:r>
        <w:continuationSeparator/>
      </w:r>
    </w:p>
  </w:endnote>
  <w:endnote w:id="1">
    <w:p w14:paraId="506B897C" w14:textId="77777777" w:rsidR="001052FF" w:rsidRDefault="00EE2821">
      <w:pPr>
        <w:pStyle w:val="a8"/>
        <w:rPr>
          <w:rFonts w:ascii="STFangsong" w:eastAsia="STFangsong" w:hAnsi="STFangsong" w:cs="STFangsong"/>
          <w:sz w:val="21"/>
          <w:szCs w:val="21"/>
        </w:rPr>
      </w:pPr>
      <w:r>
        <w:rPr>
          <w:rStyle w:val="ac"/>
        </w:rPr>
        <w:t>[</w:t>
      </w:r>
      <w:r>
        <w:rPr>
          <w:rStyle w:val="ac"/>
        </w:rPr>
        <w:endnoteRef/>
      </w:r>
      <w:r>
        <w:rPr>
          <w:rStyle w:val="ac"/>
        </w:rPr>
        <w:t>]</w:t>
      </w:r>
      <w: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万历十五年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/</w:t>
      </w:r>
      <w:r>
        <w:rPr>
          <w:rFonts w:ascii="STFangsong" w:eastAsia="STFangsong" w:hAnsi="STFangsong" w:cs="STFangsong" w:hint="eastAsia"/>
          <w:sz w:val="21"/>
          <w:szCs w:val="21"/>
        </w:rPr>
        <w:t>黄仁宇著</w:t>
      </w:r>
      <w:r>
        <w:rPr>
          <w:rFonts w:ascii="STFangsong" w:eastAsia="STFangsong" w:hAnsi="STFangsong" w:cs="STFangsong" w:hint="eastAsia"/>
          <w:sz w:val="21"/>
          <w:szCs w:val="21"/>
        </w:rPr>
        <w:t xml:space="preserve">. -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北京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:</w:t>
      </w:r>
      <w:r>
        <w:rPr>
          <w:rFonts w:ascii="STFangsong" w:eastAsia="STFangsong" w:hAnsi="STFangsong" w:cs="STFangsong" w:hint="eastAsia"/>
          <w:sz w:val="21"/>
          <w:szCs w:val="21"/>
        </w:rPr>
        <w:t>生活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读书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新知三联书店，</w:t>
      </w:r>
      <w:r>
        <w:rPr>
          <w:rFonts w:ascii="STFangsong" w:eastAsia="STFangsong" w:hAnsi="STFangsong" w:cs="STFangsong" w:hint="eastAsia"/>
          <w:sz w:val="21"/>
          <w:szCs w:val="21"/>
        </w:rPr>
        <w:t>1997.5</w:t>
      </w:r>
      <w:r>
        <w:rPr>
          <w:rFonts w:ascii="STFangsong" w:eastAsia="STFangsong" w:hAnsi="STFangsong" w:cs="STFangsong" w:hint="eastAsia"/>
          <w:sz w:val="21"/>
          <w:szCs w:val="21"/>
        </w:rPr>
        <w:t>（</w:t>
      </w:r>
      <w:r>
        <w:rPr>
          <w:rFonts w:ascii="STFangsong" w:eastAsia="STFangsong" w:hAnsi="STFangsong" w:cs="STFangsong" w:hint="eastAsia"/>
          <w:sz w:val="21"/>
          <w:szCs w:val="21"/>
        </w:rPr>
        <w:t>2023.11</w:t>
      </w:r>
      <w:r>
        <w:rPr>
          <w:rFonts w:ascii="STFangsong" w:eastAsia="STFangsong" w:hAnsi="STFangsong" w:cs="STFangsong" w:hint="eastAsia"/>
          <w:sz w:val="21"/>
          <w:szCs w:val="21"/>
        </w:rPr>
        <w:t>重印）</w:t>
      </w:r>
      <w:r>
        <w:rPr>
          <w:rFonts w:ascii="STFangsong" w:eastAsia="STFangsong" w:hAnsi="STFangsong" w:cs="STFangsong" w:hint="eastAsia"/>
          <w:sz w:val="21"/>
          <w:szCs w:val="21"/>
        </w:rPr>
        <w:t>44</w:t>
      </w:r>
      <w:r>
        <w:rPr>
          <w:rFonts w:ascii="STFangsong" w:eastAsia="STFangsong" w:hAnsi="STFangsong" w:cs="STFangsong" w:hint="eastAsia"/>
          <w:sz w:val="21"/>
          <w:szCs w:val="21"/>
        </w:rPr>
        <w:t>页</w:t>
      </w:r>
    </w:p>
  </w:endnote>
  <w:endnote w:id="2">
    <w:p w14:paraId="488630D0" w14:textId="77777777" w:rsidR="001052FF" w:rsidRDefault="00EE2821">
      <w:pPr>
        <w:pStyle w:val="a8"/>
        <w:rPr>
          <w:rFonts w:ascii="STFangsong" w:eastAsia="STFangsong" w:hAnsi="STFangsong" w:cs="STFangsong"/>
          <w:sz w:val="22"/>
          <w:szCs w:val="22"/>
        </w:rPr>
      </w:pPr>
      <w:r>
        <w:rPr>
          <w:rStyle w:val="ac"/>
        </w:rPr>
        <w:t>[</w:t>
      </w:r>
      <w:r>
        <w:rPr>
          <w:rStyle w:val="ac"/>
        </w:rPr>
        <w:endnoteRef/>
      </w:r>
      <w:r>
        <w:rPr>
          <w:rStyle w:val="ac"/>
        </w:rPr>
        <w:t>]</w:t>
      </w:r>
      <w:r>
        <w:t xml:space="preserve"> </w:t>
      </w:r>
      <w:r>
        <w:rPr>
          <w:rFonts w:ascii="STFangsong" w:eastAsia="STFangsong" w:hAnsi="STFangsong" w:cs="STFangsong" w:hint="eastAsia"/>
          <w:sz w:val="22"/>
          <w:szCs w:val="22"/>
        </w:rPr>
        <w:t>明朝那些事</w:t>
      </w:r>
      <w:r>
        <w:rPr>
          <w:rFonts w:ascii="STFangsong" w:eastAsia="STFangsong" w:hAnsi="STFangsong" w:cs="STFangsong" w:hint="eastAsia"/>
          <w:sz w:val="22"/>
          <w:szCs w:val="22"/>
        </w:rPr>
        <w:t>/</w:t>
      </w:r>
      <w:r>
        <w:rPr>
          <w:rFonts w:ascii="STFangsong" w:eastAsia="STFangsong" w:hAnsi="STFangsong" w:cs="STFangsong" w:hint="eastAsia"/>
          <w:sz w:val="22"/>
          <w:szCs w:val="22"/>
        </w:rPr>
        <w:t>当年明月</w:t>
      </w:r>
      <w:r>
        <w:rPr>
          <w:rFonts w:ascii="STFangsong" w:eastAsia="STFangsong" w:hAnsi="STFangsong" w:cs="STFangsong" w:hint="eastAsia"/>
          <w:sz w:val="22"/>
          <w:szCs w:val="22"/>
        </w:rPr>
        <w:t xml:space="preserve">- </w:t>
      </w:r>
      <w:r>
        <w:rPr>
          <w:rFonts w:ascii="STFangsong" w:eastAsia="STFangsong" w:hAnsi="STFangsong" w:cs="STFangsong" w:hint="eastAsia"/>
          <w:sz w:val="22"/>
          <w:szCs w:val="22"/>
        </w:rPr>
        <w:t>浙江人民出版社</w:t>
      </w:r>
      <w:r>
        <w:rPr>
          <w:rFonts w:ascii="STFangsong" w:eastAsia="STFangsong" w:hAnsi="STFangsong" w:cs="STFangsong" w:hint="eastAsia"/>
          <w:sz w:val="22"/>
          <w:szCs w:val="22"/>
        </w:rPr>
        <w:t xml:space="preserve"> 2020  219</w:t>
      </w:r>
      <w:r>
        <w:rPr>
          <w:rFonts w:ascii="STFangsong" w:eastAsia="STFangsong" w:hAnsi="STFangsong" w:cs="STFangsong" w:hint="eastAsia"/>
          <w:sz w:val="22"/>
          <w:szCs w:val="22"/>
        </w:rPr>
        <w:t>页</w:t>
      </w:r>
    </w:p>
  </w:endnote>
  <w:endnote w:id="3">
    <w:p w14:paraId="5F0B8270" w14:textId="77777777" w:rsidR="001052FF" w:rsidRDefault="00EE2821">
      <w:pPr>
        <w:pStyle w:val="a8"/>
      </w:pPr>
      <w:r>
        <w:rPr>
          <w:rStyle w:val="ac"/>
        </w:rPr>
        <w:t>[</w:t>
      </w:r>
      <w:r>
        <w:rPr>
          <w:rStyle w:val="ac"/>
        </w:rPr>
        <w:endnoteRef/>
      </w:r>
      <w:r>
        <w:rPr>
          <w:rStyle w:val="ac"/>
        </w:rPr>
        <w:t>]</w:t>
      </w:r>
      <w: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万历十五年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/</w:t>
      </w:r>
      <w:r>
        <w:rPr>
          <w:rFonts w:ascii="STFangsong" w:eastAsia="STFangsong" w:hAnsi="STFangsong" w:cs="STFangsong" w:hint="eastAsia"/>
          <w:sz w:val="21"/>
          <w:szCs w:val="21"/>
        </w:rPr>
        <w:t>黄仁宇著</w:t>
      </w:r>
      <w:r>
        <w:rPr>
          <w:rFonts w:ascii="STFangsong" w:eastAsia="STFangsong" w:hAnsi="STFangsong" w:cs="STFangsong" w:hint="eastAsia"/>
          <w:sz w:val="21"/>
          <w:szCs w:val="21"/>
        </w:rPr>
        <w:t>. -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北京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:</w:t>
      </w:r>
      <w:r>
        <w:rPr>
          <w:rFonts w:ascii="STFangsong" w:eastAsia="STFangsong" w:hAnsi="STFangsong" w:cs="STFangsong" w:hint="eastAsia"/>
          <w:sz w:val="21"/>
          <w:szCs w:val="21"/>
        </w:rPr>
        <w:t>生活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读书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新知三联书店，</w:t>
      </w:r>
      <w:r>
        <w:rPr>
          <w:rFonts w:ascii="STFangsong" w:eastAsia="STFangsong" w:hAnsi="STFangsong" w:cs="STFangsong" w:hint="eastAsia"/>
          <w:sz w:val="21"/>
          <w:szCs w:val="21"/>
        </w:rPr>
        <w:t>1997.5</w:t>
      </w:r>
      <w:r>
        <w:rPr>
          <w:rFonts w:ascii="STFangsong" w:eastAsia="STFangsong" w:hAnsi="STFangsong" w:cs="STFangsong" w:hint="eastAsia"/>
          <w:sz w:val="21"/>
          <w:szCs w:val="21"/>
        </w:rPr>
        <w:t>（</w:t>
      </w:r>
      <w:r>
        <w:rPr>
          <w:rFonts w:ascii="STFangsong" w:eastAsia="STFangsong" w:hAnsi="STFangsong" w:cs="STFangsong" w:hint="eastAsia"/>
          <w:sz w:val="21"/>
          <w:szCs w:val="21"/>
        </w:rPr>
        <w:t>2023.11</w:t>
      </w:r>
      <w:r>
        <w:rPr>
          <w:rFonts w:ascii="STFangsong" w:eastAsia="STFangsong" w:hAnsi="STFangsong" w:cs="STFangsong" w:hint="eastAsia"/>
          <w:sz w:val="21"/>
          <w:szCs w:val="21"/>
        </w:rPr>
        <w:t>重印）</w:t>
      </w:r>
      <w:r>
        <w:rPr>
          <w:rFonts w:ascii="STFangsong" w:eastAsia="STFangsong" w:hAnsi="STFangsong" w:cs="STFangsong" w:hint="eastAsia"/>
          <w:sz w:val="21"/>
          <w:szCs w:val="21"/>
        </w:rPr>
        <w:t>119</w:t>
      </w:r>
      <w:r>
        <w:rPr>
          <w:rFonts w:ascii="STFangsong" w:eastAsia="STFangsong" w:hAnsi="STFangsong" w:cs="STFangsong" w:hint="eastAsia"/>
          <w:sz w:val="21"/>
          <w:szCs w:val="21"/>
        </w:rPr>
        <w:t>页</w:t>
      </w:r>
    </w:p>
  </w:endnote>
  <w:endnote w:id="4">
    <w:p w14:paraId="5797EB96" w14:textId="77777777" w:rsidR="001052FF" w:rsidRDefault="00EE2821">
      <w:pPr>
        <w:pStyle w:val="a8"/>
        <w:rPr>
          <w:rFonts w:ascii="STFangsong" w:eastAsia="STFangsong" w:hAnsi="STFangsong" w:cs="STFangsong"/>
          <w:sz w:val="21"/>
          <w:szCs w:val="21"/>
        </w:rPr>
      </w:pPr>
      <w:r>
        <w:rPr>
          <w:rStyle w:val="ac"/>
        </w:rPr>
        <w:t>[</w:t>
      </w:r>
      <w:r>
        <w:rPr>
          <w:rStyle w:val="ac"/>
        </w:rPr>
        <w:endnoteRef/>
      </w:r>
      <w:r>
        <w:rPr>
          <w:rStyle w:val="ac"/>
        </w:rPr>
        <w:t>]</w:t>
      </w:r>
      <w: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万历十五年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/</w:t>
      </w:r>
      <w:r>
        <w:rPr>
          <w:rFonts w:ascii="STFangsong" w:eastAsia="STFangsong" w:hAnsi="STFangsong" w:cs="STFangsong" w:hint="eastAsia"/>
          <w:sz w:val="21"/>
          <w:szCs w:val="21"/>
        </w:rPr>
        <w:t>黄仁宇著</w:t>
      </w:r>
      <w:r>
        <w:rPr>
          <w:rFonts w:ascii="STFangsong" w:eastAsia="STFangsong" w:hAnsi="STFangsong" w:cs="STFangsong" w:hint="eastAsia"/>
          <w:sz w:val="21"/>
          <w:szCs w:val="21"/>
        </w:rPr>
        <w:t>. -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北京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:</w:t>
      </w:r>
      <w:r>
        <w:rPr>
          <w:rFonts w:ascii="STFangsong" w:eastAsia="STFangsong" w:hAnsi="STFangsong" w:cs="STFangsong" w:hint="eastAsia"/>
          <w:sz w:val="21"/>
          <w:szCs w:val="21"/>
        </w:rPr>
        <w:t>生活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读书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新知三联书店，</w:t>
      </w:r>
      <w:r>
        <w:rPr>
          <w:rFonts w:ascii="STFangsong" w:eastAsia="STFangsong" w:hAnsi="STFangsong" w:cs="STFangsong" w:hint="eastAsia"/>
          <w:sz w:val="21"/>
          <w:szCs w:val="21"/>
        </w:rPr>
        <w:t>1997.5</w:t>
      </w:r>
      <w:r>
        <w:rPr>
          <w:rFonts w:ascii="STFangsong" w:eastAsia="STFangsong" w:hAnsi="STFangsong" w:cs="STFangsong" w:hint="eastAsia"/>
          <w:sz w:val="21"/>
          <w:szCs w:val="21"/>
        </w:rPr>
        <w:t>（</w:t>
      </w:r>
      <w:r>
        <w:rPr>
          <w:rFonts w:ascii="STFangsong" w:eastAsia="STFangsong" w:hAnsi="STFangsong" w:cs="STFangsong" w:hint="eastAsia"/>
          <w:sz w:val="21"/>
          <w:szCs w:val="21"/>
        </w:rPr>
        <w:t>2023.11</w:t>
      </w:r>
      <w:r>
        <w:rPr>
          <w:rFonts w:ascii="STFangsong" w:eastAsia="STFangsong" w:hAnsi="STFangsong" w:cs="STFangsong" w:hint="eastAsia"/>
          <w:sz w:val="21"/>
          <w:szCs w:val="21"/>
        </w:rPr>
        <w:t>重印）</w:t>
      </w:r>
      <w:r>
        <w:rPr>
          <w:rFonts w:ascii="STFangsong" w:eastAsia="STFangsong" w:hAnsi="STFangsong" w:cs="STFangsong" w:hint="eastAsia"/>
          <w:sz w:val="21"/>
          <w:szCs w:val="21"/>
        </w:rPr>
        <w:t>128</w:t>
      </w:r>
      <w:r>
        <w:rPr>
          <w:rFonts w:ascii="STFangsong" w:eastAsia="STFangsong" w:hAnsi="STFangsong" w:cs="STFangsong" w:hint="eastAsia"/>
          <w:sz w:val="21"/>
          <w:szCs w:val="21"/>
        </w:rPr>
        <w:t>页</w:t>
      </w:r>
    </w:p>
  </w:endnote>
  <w:endnote w:id="5">
    <w:p w14:paraId="7A35BEB8" w14:textId="77777777" w:rsidR="001052FF" w:rsidRDefault="00EE2821">
      <w:pPr>
        <w:pStyle w:val="a8"/>
        <w:rPr>
          <w:rFonts w:ascii="STFangsong" w:eastAsia="STFangsong" w:hAnsi="STFangsong" w:cs="STFangsong"/>
          <w:sz w:val="21"/>
          <w:szCs w:val="21"/>
        </w:rPr>
      </w:pPr>
      <w:r>
        <w:rPr>
          <w:rStyle w:val="ac"/>
        </w:rPr>
        <w:t>[</w:t>
      </w:r>
      <w:r>
        <w:rPr>
          <w:rStyle w:val="ac"/>
        </w:rPr>
        <w:endnoteRef/>
      </w:r>
      <w:r>
        <w:rPr>
          <w:rStyle w:val="ac"/>
        </w:rPr>
        <w:t>]</w:t>
      </w:r>
      <w: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万历十五年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/</w:t>
      </w:r>
      <w:r>
        <w:rPr>
          <w:rFonts w:ascii="STFangsong" w:eastAsia="STFangsong" w:hAnsi="STFangsong" w:cs="STFangsong" w:hint="eastAsia"/>
          <w:sz w:val="21"/>
          <w:szCs w:val="21"/>
        </w:rPr>
        <w:t>黄仁宇著</w:t>
      </w:r>
      <w:r>
        <w:rPr>
          <w:rFonts w:ascii="STFangsong" w:eastAsia="STFangsong" w:hAnsi="STFangsong" w:cs="STFangsong" w:hint="eastAsia"/>
          <w:sz w:val="21"/>
          <w:szCs w:val="21"/>
        </w:rPr>
        <w:t>. -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北京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:</w:t>
      </w:r>
      <w:r>
        <w:rPr>
          <w:rFonts w:ascii="STFangsong" w:eastAsia="STFangsong" w:hAnsi="STFangsong" w:cs="STFangsong" w:hint="eastAsia"/>
          <w:sz w:val="21"/>
          <w:szCs w:val="21"/>
        </w:rPr>
        <w:t>生活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读书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新知三联书店，</w:t>
      </w:r>
      <w:r>
        <w:rPr>
          <w:rFonts w:ascii="STFangsong" w:eastAsia="STFangsong" w:hAnsi="STFangsong" w:cs="STFangsong" w:hint="eastAsia"/>
          <w:sz w:val="21"/>
          <w:szCs w:val="21"/>
        </w:rPr>
        <w:t>1997.5</w:t>
      </w:r>
      <w:r>
        <w:rPr>
          <w:rFonts w:ascii="STFangsong" w:eastAsia="STFangsong" w:hAnsi="STFangsong" w:cs="STFangsong" w:hint="eastAsia"/>
          <w:sz w:val="21"/>
          <w:szCs w:val="21"/>
        </w:rPr>
        <w:t>（</w:t>
      </w:r>
      <w:r>
        <w:rPr>
          <w:rFonts w:ascii="STFangsong" w:eastAsia="STFangsong" w:hAnsi="STFangsong" w:cs="STFangsong" w:hint="eastAsia"/>
          <w:sz w:val="21"/>
          <w:szCs w:val="21"/>
        </w:rPr>
        <w:t>2023.11</w:t>
      </w:r>
      <w:r>
        <w:rPr>
          <w:rFonts w:ascii="STFangsong" w:eastAsia="STFangsong" w:hAnsi="STFangsong" w:cs="STFangsong" w:hint="eastAsia"/>
          <w:sz w:val="21"/>
          <w:szCs w:val="21"/>
        </w:rPr>
        <w:t>重印）</w:t>
      </w:r>
      <w:r>
        <w:rPr>
          <w:rFonts w:ascii="STFangsong" w:eastAsia="STFangsong" w:hAnsi="STFangsong" w:cs="STFangsong" w:hint="eastAsia"/>
          <w:sz w:val="21"/>
          <w:szCs w:val="21"/>
        </w:rPr>
        <w:t>158</w:t>
      </w:r>
      <w:r>
        <w:rPr>
          <w:rFonts w:ascii="STFangsong" w:eastAsia="STFangsong" w:hAnsi="STFangsong" w:cs="STFangsong" w:hint="eastAsia"/>
          <w:sz w:val="21"/>
          <w:szCs w:val="21"/>
        </w:rPr>
        <w:t>页</w:t>
      </w:r>
    </w:p>
  </w:endnote>
  <w:endnote w:id="6">
    <w:p w14:paraId="7AE281E4" w14:textId="77777777" w:rsidR="001052FF" w:rsidRDefault="00EE2821">
      <w:pPr>
        <w:pStyle w:val="a3"/>
        <w:rPr>
          <w:rFonts w:ascii="STFangsong" w:eastAsia="STFangsong" w:hAnsi="STFangsong" w:cs="STFangsong"/>
          <w:szCs w:val="21"/>
        </w:rPr>
      </w:pPr>
      <w:r>
        <w:rPr>
          <w:rStyle w:val="ac"/>
        </w:rPr>
        <w:t>[</w:t>
      </w:r>
      <w:r>
        <w:rPr>
          <w:rStyle w:val="ac"/>
        </w:rPr>
        <w:endnoteRef/>
      </w:r>
      <w:r>
        <w:rPr>
          <w:rStyle w:val="ac"/>
        </w:rPr>
        <w:t>]</w:t>
      </w:r>
      <w: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>万历十五年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>/</w:t>
      </w:r>
      <w:r>
        <w:rPr>
          <w:rFonts w:ascii="STFangsong" w:eastAsia="STFangsong" w:hAnsi="STFangsong" w:cs="STFangsong" w:hint="eastAsia"/>
          <w:szCs w:val="21"/>
        </w:rPr>
        <w:t>黄仁宇著</w:t>
      </w:r>
      <w:r>
        <w:rPr>
          <w:rFonts w:ascii="STFangsong" w:eastAsia="STFangsong" w:hAnsi="STFangsong" w:cs="STFangsong" w:hint="eastAsia"/>
          <w:szCs w:val="21"/>
        </w:rPr>
        <w:t>. -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>北京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>:</w:t>
      </w:r>
      <w:r>
        <w:rPr>
          <w:rFonts w:ascii="STFangsong" w:eastAsia="STFangsong" w:hAnsi="STFangsong" w:cs="STFangsong" w:hint="eastAsia"/>
          <w:szCs w:val="21"/>
        </w:rPr>
        <w:t>生活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Cs w:val="21"/>
        </w:rPr>
        <w:t>读书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Cs w:val="21"/>
        </w:rPr>
        <w:t>新知三联书店，</w:t>
      </w:r>
      <w:r>
        <w:rPr>
          <w:rFonts w:ascii="STFangsong" w:eastAsia="STFangsong" w:hAnsi="STFangsong" w:cs="STFangsong" w:hint="eastAsia"/>
          <w:szCs w:val="21"/>
        </w:rPr>
        <w:t>1997.5</w:t>
      </w:r>
      <w:r>
        <w:rPr>
          <w:rFonts w:ascii="STFangsong" w:eastAsia="STFangsong" w:hAnsi="STFangsong" w:cs="STFangsong" w:hint="eastAsia"/>
          <w:szCs w:val="21"/>
        </w:rPr>
        <w:t>（</w:t>
      </w:r>
      <w:r>
        <w:rPr>
          <w:rFonts w:ascii="STFangsong" w:eastAsia="STFangsong" w:hAnsi="STFangsong" w:cs="STFangsong" w:hint="eastAsia"/>
          <w:szCs w:val="21"/>
        </w:rPr>
        <w:t>2023.11</w:t>
      </w:r>
      <w:r>
        <w:rPr>
          <w:rFonts w:ascii="STFangsong" w:eastAsia="STFangsong" w:hAnsi="STFangsong" w:cs="STFangsong" w:hint="eastAsia"/>
          <w:szCs w:val="21"/>
        </w:rPr>
        <w:t>重印）</w:t>
      </w:r>
      <w:r>
        <w:rPr>
          <w:rFonts w:ascii="STFangsong" w:eastAsia="STFangsong" w:hAnsi="STFangsong" w:cs="STFangsong" w:hint="eastAsia"/>
          <w:szCs w:val="21"/>
        </w:rPr>
        <w:t>268</w:t>
      </w:r>
      <w:r>
        <w:rPr>
          <w:rFonts w:ascii="STFangsong" w:eastAsia="STFangsong" w:hAnsi="STFangsong" w:cs="STFangsong" w:hint="eastAsia"/>
          <w:szCs w:val="21"/>
        </w:rPr>
        <w:t>页</w:t>
      </w:r>
    </w:p>
    <w:p w14:paraId="5E9DFB24" w14:textId="77777777" w:rsidR="001052FF" w:rsidRDefault="00EE2821">
      <w:pPr>
        <w:pStyle w:val="a8"/>
        <w:rPr>
          <w:rFonts w:ascii="STFangsong" w:eastAsia="STFangsong" w:hAnsi="STFangsong" w:cs="STFangsong"/>
          <w:sz w:val="21"/>
          <w:szCs w:val="21"/>
        </w:rPr>
      </w:pPr>
      <w:r>
        <w:rPr>
          <w:rFonts w:ascii="STFangsong" w:eastAsia="STFangsong" w:hAnsi="STFangsong" w:cs="STFangsong" w:hint="eastAsia"/>
          <w:b/>
          <w:bCs/>
          <w:sz w:val="21"/>
          <w:szCs w:val="21"/>
        </w:rPr>
        <w:t>参考文献</w:t>
      </w:r>
    </w:p>
    <w:p w14:paraId="6DB882E5" w14:textId="77777777" w:rsidR="001052FF" w:rsidRDefault="00EE2821">
      <w:pPr>
        <w:pStyle w:val="a8"/>
        <w:rPr>
          <w:rFonts w:ascii="STFangsong" w:eastAsia="STFangsong" w:hAnsi="STFangsong" w:cs="STFangsong"/>
          <w:sz w:val="21"/>
          <w:szCs w:val="21"/>
        </w:rPr>
      </w:pP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《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万历十五年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》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/</w:t>
      </w:r>
      <w:r>
        <w:rPr>
          <w:rFonts w:ascii="STFangsong" w:eastAsia="STFangsong" w:hAnsi="STFangsong" w:cs="STFangsong" w:hint="eastAsia"/>
          <w:sz w:val="21"/>
          <w:szCs w:val="21"/>
        </w:rPr>
        <w:t>黄仁宇著</w:t>
      </w:r>
      <w:r>
        <w:rPr>
          <w:rFonts w:ascii="STFangsong" w:eastAsia="STFangsong" w:hAnsi="STFangsong" w:cs="STFangsong" w:hint="eastAsia"/>
          <w:sz w:val="21"/>
          <w:szCs w:val="21"/>
        </w:rPr>
        <w:t>. -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北京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:</w:t>
      </w:r>
      <w:r>
        <w:rPr>
          <w:rFonts w:ascii="STFangsong" w:eastAsia="STFangsong" w:hAnsi="STFangsong" w:cs="STFangsong" w:hint="eastAsia"/>
          <w:sz w:val="21"/>
          <w:szCs w:val="21"/>
        </w:rPr>
        <w:t>生活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读书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新知三联书店，</w:t>
      </w:r>
      <w:r>
        <w:rPr>
          <w:rFonts w:ascii="STFangsong" w:eastAsia="STFangsong" w:hAnsi="STFangsong" w:cs="STFangsong" w:hint="eastAsia"/>
          <w:sz w:val="21"/>
          <w:szCs w:val="21"/>
        </w:rPr>
        <w:t>1997.5</w:t>
      </w:r>
      <w:r>
        <w:rPr>
          <w:rFonts w:ascii="STFangsong" w:eastAsia="STFangsong" w:hAnsi="STFangsong" w:cs="STFangsong" w:hint="eastAsia"/>
          <w:sz w:val="21"/>
          <w:szCs w:val="21"/>
        </w:rPr>
        <w:t>（</w:t>
      </w:r>
      <w:r>
        <w:rPr>
          <w:rFonts w:ascii="STFangsong" w:eastAsia="STFangsong" w:hAnsi="STFangsong" w:cs="STFangsong" w:hint="eastAsia"/>
          <w:sz w:val="21"/>
          <w:szCs w:val="21"/>
        </w:rPr>
        <w:t>2023.11</w:t>
      </w:r>
      <w:r>
        <w:rPr>
          <w:rFonts w:ascii="STFangsong" w:eastAsia="STFangsong" w:hAnsi="STFangsong" w:cs="STFangsong" w:hint="eastAsia"/>
          <w:sz w:val="21"/>
          <w:szCs w:val="21"/>
        </w:rPr>
        <w:t>重印）</w:t>
      </w:r>
    </w:p>
    <w:p w14:paraId="5A827DD5" w14:textId="77777777" w:rsidR="001052FF" w:rsidRDefault="00EE2821">
      <w:pPr>
        <w:pStyle w:val="a8"/>
        <w:rPr>
          <w:rFonts w:ascii="STFangsong" w:eastAsia="STFangsong" w:hAnsi="STFangsong" w:cs="STFangsong"/>
          <w:sz w:val="21"/>
          <w:szCs w:val="21"/>
        </w:rPr>
      </w:pP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《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明朝那些事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》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/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当年明月</w:t>
      </w:r>
      <w:r>
        <w:rPr>
          <w:rFonts w:ascii="STFangsong" w:eastAsia="STFangsong" w:hAnsi="STFangsong" w:cs="STFangsong" w:hint="eastAsia"/>
          <w:sz w:val="21"/>
          <w:szCs w:val="21"/>
        </w:rPr>
        <w:t xml:space="preserve"> -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浙江人民出版社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 xml:space="preserve"> 2020</w:t>
      </w:r>
    </w:p>
    <w:p w14:paraId="5B222AEB" w14:textId="77777777" w:rsidR="001052FF" w:rsidRDefault="001052FF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长城粗隶书">
    <w:altName w:val="报隶-简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华康宋体W7">
    <w:altName w:val="Calibri"/>
    <w:panose1 w:val="020B0604020202020204"/>
    <w:charset w:val="00"/>
    <w:family w:val="auto"/>
    <w:pitch w:val="default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ingFang SC">
    <w:altName w:val="微软雅黑"/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AA378" w14:textId="77777777" w:rsidR="00EE2821" w:rsidRDefault="00EE2821">
      <w:r>
        <w:separator/>
      </w:r>
    </w:p>
  </w:footnote>
  <w:footnote w:type="continuationSeparator" w:id="0">
    <w:p w14:paraId="51AC8EB4" w14:textId="77777777" w:rsidR="00EE2821" w:rsidRDefault="00EE2821">
      <w:r>
        <w:continuationSeparator/>
      </w:r>
    </w:p>
  </w:footnote>
  <w:footnote w:id="1">
    <w:p w14:paraId="08BE6727" w14:textId="77777777" w:rsidR="001052FF" w:rsidRDefault="00EE2821">
      <w:pPr>
        <w:pStyle w:val="a8"/>
      </w:pPr>
      <w:r>
        <w:rPr>
          <w:rStyle w:val="ad"/>
        </w:rPr>
        <w:t>[</w:t>
      </w:r>
      <w:r>
        <w:rPr>
          <w:rStyle w:val="ad"/>
        </w:rPr>
        <w:footnoteRef/>
      </w:r>
      <w:r>
        <w:rPr>
          <w:rStyle w:val="ad"/>
        </w:rPr>
        <w:t>]</w:t>
      </w:r>
      <w: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万历十五年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/</w:t>
      </w:r>
      <w:r>
        <w:rPr>
          <w:rFonts w:ascii="STFangsong" w:eastAsia="STFangsong" w:hAnsi="STFangsong" w:cs="STFangsong" w:hint="eastAsia"/>
          <w:sz w:val="21"/>
          <w:szCs w:val="21"/>
        </w:rPr>
        <w:t>黄仁宇著</w:t>
      </w:r>
      <w:r>
        <w:rPr>
          <w:rFonts w:ascii="STFangsong" w:eastAsia="STFangsong" w:hAnsi="STFangsong" w:cs="STFangsong" w:hint="eastAsia"/>
          <w:sz w:val="21"/>
          <w:szCs w:val="21"/>
        </w:rPr>
        <w:t>. -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北京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:</w:t>
      </w:r>
      <w:r>
        <w:rPr>
          <w:rFonts w:ascii="STFangsong" w:eastAsia="STFangsong" w:hAnsi="STFangsong" w:cs="STFangsong" w:hint="eastAsia"/>
          <w:sz w:val="21"/>
          <w:szCs w:val="21"/>
        </w:rPr>
        <w:t>生活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读书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新知三联书店，</w:t>
      </w:r>
      <w:r>
        <w:rPr>
          <w:rFonts w:ascii="STFangsong" w:eastAsia="STFangsong" w:hAnsi="STFangsong" w:cs="STFangsong" w:hint="eastAsia"/>
          <w:sz w:val="21"/>
          <w:szCs w:val="21"/>
        </w:rPr>
        <w:t>1997.5</w:t>
      </w:r>
      <w:r>
        <w:rPr>
          <w:rFonts w:ascii="STFangsong" w:eastAsia="STFangsong" w:hAnsi="STFangsong" w:cs="STFangsong" w:hint="eastAsia"/>
          <w:sz w:val="21"/>
          <w:szCs w:val="21"/>
        </w:rPr>
        <w:t>（</w:t>
      </w:r>
      <w:r>
        <w:rPr>
          <w:rFonts w:ascii="STFangsong" w:eastAsia="STFangsong" w:hAnsi="STFangsong" w:cs="STFangsong" w:hint="eastAsia"/>
          <w:sz w:val="21"/>
          <w:szCs w:val="21"/>
        </w:rPr>
        <w:t>2023.11</w:t>
      </w:r>
      <w:r>
        <w:rPr>
          <w:rFonts w:ascii="STFangsong" w:eastAsia="STFangsong" w:hAnsi="STFangsong" w:cs="STFangsong" w:hint="eastAsia"/>
          <w:sz w:val="21"/>
          <w:szCs w:val="21"/>
        </w:rPr>
        <w:t>重印）</w:t>
      </w:r>
      <w:r>
        <w:rPr>
          <w:rFonts w:ascii="STFangsong" w:eastAsia="STFangsong" w:hAnsi="STFangsong" w:cs="STFangsong" w:hint="eastAsia"/>
          <w:sz w:val="21"/>
          <w:szCs w:val="21"/>
        </w:rPr>
        <w:t>44</w:t>
      </w:r>
      <w:r>
        <w:rPr>
          <w:rFonts w:ascii="STFangsong" w:eastAsia="STFangsong" w:hAnsi="STFangsong" w:cs="STFangsong" w:hint="eastAsia"/>
          <w:sz w:val="21"/>
          <w:szCs w:val="21"/>
        </w:rPr>
        <w:t>页</w:t>
      </w:r>
    </w:p>
  </w:footnote>
  <w:footnote w:id="2">
    <w:p w14:paraId="0B8803C2" w14:textId="77777777" w:rsidR="001052FF" w:rsidRDefault="00EE2821">
      <w:pPr>
        <w:widowControl/>
        <w:jc w:val="left"/>
      </w:pPr>
      <w:r>
        <w:rPr>
          <w:rStyle w:val="ad"/>
        </w:rPr>
        <w:t>[</w:t>
      </w:r>
      <w:r>
        <w:rPr>
          <w:rStyle w:val="ad"/>
        </w:rPr>
        <w:footnoteRef/>
      </w:r>
      <w:r>
        <w:rPr>
          <w:rStyle w:val="ad"/>
        </w:rPr>
        <w:t>]</w:t>
      </w:r>
      <w: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>明朝那些事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>/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>当年明月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>浙江人民出版社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 xml:space="preserve"> 2020 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>219</w:t>
      </w:r>
      <w:r>
        <w:rPr>
          <w:rFonts w:asciiTheme="minorEastAsia" w:hAnsiTheme="minorEastAsia" w:cstheme="minorEastAsia" w:hint="eastAsia"/>
          <w:color w:val="181E33"/>
          <w:kern w:val="0"/>
          <w:szCs w:val="21"/>
          <w:shd w:val="clear" w:color="auto" w:fill="FFFFFF"/>
          <w:lang w:bidi="ar"/>
        </w:rPr>
        <w:t>页</w:t>
      </w:r>
    </w:p>
  </w:footnote>
  <w:footnote w:id="3">
    <w:p w14:paraId="7C04F2FA" w14:textId="77777777" w:rsidR="001052FF" w:rsidRDefault="00EE2821">
      <w:pPr>
        <w:pStyle w:val="a8"/>
      </w:pPr>
      <w:r>
        <w:rPr>
          <w:rStyle w:val="ad"/>
        </w:rPr>
        <w:t>[</w:t>
      </w:r>
      <w:r>
        <w:rPr>
          <w:rStyle w:val="ad"/>
        </w:rPr>
        <w:footnoteRef/>
      </w:r>
      <w:r>
        <w:rPr>
          <w:rStyle w:val="ad"/>
        </w:rPr>
        <w:t>]</w:t>
      </w:r>
      <w: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万历十五年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/</w:t>
      </w:r>
      <w:r>
        <w:rPr>
          <w:rFonts w:ascii="STFangsong" w:eastAsia="STFangsong" w:hAnsi="STFangsong" w:cs="STFangsong" w:hint="eastAsia"/>
          <w:sz w:val="21"/>
          <w:szCs w:val="21"/>
        </w:rPr>
        <w:t>黄仁宇著</w:t>
      </w:r>
      <w:r>
        <w:rPr>
          <w:rFonts w:ascii="STFangsong" w:eastAsia="STFangsong" w:hAnsi="STFangsong" w:cs="STFangsong" w:hint="eastAsia"/>
          <w:sz w:val="21"/>
          <w:szCs w:val="21"/>
        </w:rPr>
        <w:t>. -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北京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:</w:t>
      </w:r>
      <w:r>
        <w:rPr>
          <w:rFonts w:ascii="STFangsong" w:eastAsia="STFangsong" w:hAnsi="STFangsong" w:cs="STFangsong" w:hint="eastAsia"/>
          <w:sz w:val="21"/>
          <w:szCs w:val="21"/>
        </w:rPr>
        <w:t>生活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读书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新知三联书店，</w:t>
      </w:r>
      <w:r>
        <w:rPr>
          <w:rFonts w:ascii="STFangsong" w:eastAsia="STFangsong" w:hAnsi="STFangsong" w:cs="STFangsong" w:hint="eastAsia"/>
          <w:sz w:val="21"/>
          <w:szCs w:val="21"/>
        </w:rPr>
        <w:t>1997.5</w:t>
      </w:r>
      <w:r>
        <w:rPr>
          <w:rFonts w:ascii="STFangsong" w:eastAsia="STFangsong" w:hAnsi="STFangsong" w:cs="STFangsong" w:hint="eastAsia"/>
          <w:sz w:val="21"/>
          <w:szCs w:val="21"/>
        </w:rPr>
        <w:t>（</w:t>
      </w:r>
      <w:r>
        <w:rPr>
          <w:rFonts w:ascii="STFangsong" w:eastAsia="STFangsong" w:hAnsi="STFangsong" w:cs="STFangsong" w:hint="eastAsia"/>
          <w:sz w:val="21"/>
          <w:szCs w:val="21"/>
        </w:rPr>
        <w:t>2023.11</w:t>
      </w:r>
      <w:r>
        <w:rPr>
          <w:rFonts w:ascii="STFangsong" w:eastAsia="STFangsong" w:hAnsi="STFangsong" w:cs="STFangsong" w:hint="eastAsia"/>
          <w:sz w:val="21"/>
          <w:szCs w:val="21"/>
        </w:rPr>
        <w:t>重印）</w:t>
      </w:r>
      <w:r>
        <w:rPr>
          <w:rFonts w:ascii="STFangsong" w:eastAsia="STFangsong" w:hAnsi="STFangsong" w:cs="STFangsong" w:hint="eastAsia"/>
          <w:sz w:val="21"/>
          <w:szCs w:val="21"/>
        </w:rPr>
        <w:t>119</w:t>
      </w:r>
      <w:r>
        <w:rPr>
          <w:rFonts w:ascii="STFangsong" w:eastAsia="STFangsong" w:hAnsi="STFangsong" w:cs="STFangsong" w:hint="eastAsia"/>
          <w:sz w:val="21"/>
          <w:szCs w:val="21"/>
        </w:rPr>
        <w:t>页</w:t>
      </w:r>
    </w:p>
  </w:footnote>
  <w:footnote w:id="4">
    <w:p w14:paraId="64EA684A" w14:textId="77777777" w:rsidR="001052FF" w:rsidRDefault="00EE2821">
      <w:pPr>
        <w:pStyle w:val="a8"/>
      </w:pPr>
      <w:r>
        <w:rPr>
          <w:rStyle w:val="ad"/>
        </w:rPr>
        <w:t>[</w:t>
      </w:r>
      <w:r>
        <w:rPr>
          <w:rStyle w:val="ad"/>
        </w:rPr>
        <w:footnoteRef/>
      </w:r>
      <w:r>
        <w:rPr>
          <w:rStyle w:val="ad"/>
        </w:rPr>
        <w:t>]</w:t>
      </w:r>
      <w: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万历十五年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/</w:t>
      </w:r>
      <w:r>
        <w:rPr>
          <w:rFonts w:ascii="STFangsong" w:eastAsia="STFangsong" w:hAnsi="STFangsong" w:cs="STFangsong" w:hint="eastAsia"/>
          <w:sz w:val="21"/>
          <w:szCs w:val="21"/>
        </w:rPr>
        <w:t>黄仁宇著</w:t>
      </w:r>
      <w:r>
        <w:rPr>
          <w:rFonts w:ascii="STFangsong" w:eastAsia="STFangsong" w:hAnsi="STFangsong" w:cs="STFangsong" w:hint="eastAsia"/>
          <w:sz w:val="21"/>
          <w:szCs w:val="21"/>
        </w:rPr>
        <w:t>. -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北京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:</w:t>
      </w:r>
      <w:r>
        <w:rPr>
          <w:rFonts w:ascii="STFangsong" w:eastAsia="STFangsong" w:hAnsi="STFangsong" w:cs="STFangsong" w:hint="eastAsia"/>
          <w:sz w:val="21"/>
          <w:szCs w:val="21"/>
        </w:rPr>
        <w:t>生活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读书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新知三联书店，</w:t>
      </w:r>
      <w:r>
        <w:rPr>
          <w:rFonts w:ascii="STFangsong" w:eastAsia="STFangsong" w:hAnsi="STFangsong" w:cs="STFangsong" w:hint="eastAsia"/>
          <w:sz w:val="21"/>
          <w:szCs w:val="21"/>
        </w:rPr>
        <w:t>1997.5</w:t>
      </w:r>
      <w:r>
        <w:rPr>
          <w:rFonts w:ascii="STFangsong" w:eastAsia="STFangsong" w:hAnsi="STFangsong" w:cs="STFangsong" w:hint="eastAsia"/>
          <w:sz w:val="21"/>
          <w:szCs w:val="21"/>
        </w:rPr>
        <w:t>（</w:t>
      </w:r>
      <w:r>
        <w:rPr>
          <w:rFonts w:ascii="STFangsong" w:eastAsia="STFangsong" w:hAnsi="STFangsong" w:cs="STFangsong" w:hint="eastAsia"/>
          <w:sz w:val="21"/>
          <w:szCs w:val="21"/>
        </w:rPr>
        <w:t>2023.11</w:t>
      </w:r>
      <w:r>
        <w:rPr>
          <w:rFonts w:ascii="STFangsong" w:eastAsia="STFangsong" w:hAnsi="STFangsong" w:cs="STFangsong" w:hint="eastAsia"/>
          <w:sz w:val="21"/>
          <w:szCs w:val="21"/>
        </w:rPr>
        <w:t>重印）</w:t>
      </w:r>
      <w:r>
        <w:rPr>
          <w:rFonts w:ascii="STFangsong" w:eastAsia="STFangsong" w:hAnsi="STFangsong" w:cs="STFangsong" w:hint="eastAsia"/>
          <w:sz w:val="21"/>
          <w:szCs w:val="21"/>
        </w:rPr>
        <w:t>128</w:t>
      </w:r>
      <w:r>
        <w:rPr>
          <w:rFonts w:ascii="STFangsong" w:eastAsia="STFangsong" w:hAnsi="STFangsong" w:cs="STFangsong" w:hint="eastAsia"/>
          <w:sz w:val="21"/>
          <w:szCs w:val="21"/>
        </w:rPr>
        <w:t>页</w:t>
      </w:r>
    </w:p>
    <w:p w14:paraId="0FAFC84F" w14:textId="77777777" w:rsidR="001052FF" w:rsidRDefault="001052FF">
      <w:pPr>
        <w:pStyle w:val="a8"/>
      </w:pPr>
    </w:p>
  </w:footnote>
  <w:footnote w:id="5">
    <w:p w14:paraId="65A447FA" w14:textId="77777777" w:rsidR="001052FF" w:rsidRDefault="00EE2821">
      <w:pPr>
        <w:pStyle w:val="a8"/>
      </w:pPr>
      <w:r>
        <w:rPr>
          <w:rStyle w:val="ad"/>
        </w:rPr>
        <w:t>[</w:t>
      </w:r>
      <w:r>
        <w:rPr>
          <w:rStyle w:val="ad"/>
        </w:rPr>
        <w:footnoteRef/>
      </w:r>
      <w:r>
        <w:rPr>
          <w:rStyle w:val="ad"/>
        </w:rPr>
        <w:t>]</w:t>
      </w:r>
      <w: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万历十五年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/</w:t>
      </w:r>
      <w:r>
        <w:rPr>
          <w:rFonts w:ascii="STFangsong" w:eastAsia="STFangsong" w:hAnsi="STFangsong" w:cs="STFangsong" w:hint="eastAsia"/>
          <w:sz w:val="21"/>
          <w:szCs w:val="21"/>
        </w:rPr>
        <w:t>黄仁宇著</w:t>
      </w:r>
      <w:r>
        <w:rPr>
          <w:rFonts w:ascii="STFangsong" w:eastAsia="STFangsong" w:hAnsi="STFangsong" w:cs="STFangsong" w:hint="eastAsia"/>
          <w:sz w:val="21"/>
          <w:szCs w:val="21"/>
        </w:rPr>
        <w:t>. -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北京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:</w:t>
      </w:r>
      <w:r>
        <w:rPr>
          <w:rFonts w:ascii="STFangsong" w:eastAsia="STFangsong" w:hAnsi="STFangsong" w:cs="STFangsong" w:hint="eastAsia"/>
          <w:sz w:val="21"/>
          <w:szCs w:val="21"/>
        </w:rPr>
        <w:t>生活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读书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新知三联书店，</w:t>
      </w:r>
      <w:r>
        <w:rPr>
          <w:rFonts w:ascii="STFangsong" w:eastAsia="STFangsong" w:hAnsi="STFangsong" w:cs="STFangsong" w:hint="eastAsia"/>
          <w:sz w:val="21"/>
          <w:szCs w:val="21"/>
        </w:rPr>
        <w:t>1997.5</w:t>
      </w:r>
      <w:r>
        <w:rPr>
          <w:rFonts w:ascii="STFangsong" w:eastAsia="STFangsong" w:hAnsi="STFangsong" w:cs="STFangsong" w:hint="eastAsia"/>
          <w:sz w:val="21"/>
          <w:szCs w:val="21"/>
        </w:rPr>
        <w:t>（</w:t>
      </w:r>
      <w:r>
        <w:rPr>
          <w:rFonts w:ascii="STFangsong" w:eastAsia="STFangsong" w:hAnsi="STFangsong" w:cs="STFangsong" w:hint="eastAsia"/>
          <w:sz w:val="21"/>
          <w:szCs w:val="21"/>
        </w:rPr>
        <w:t>2023.11</w:t>
      </w:r>
      <w:r>
        <w:rPr>
          <w:rFonts w:ascii="STFangsong" w:eastAsia="STFangsong" w:hAnsi="STFangsong" w:cs="STFangsong" w:hint="eastAsia"/>
          <w:sz w:val="21"/>
          <w:szCs w:val="21"/>
        </w:rPr>
        <w:t>重印）</w:t>
      </w:r>
      <w:r>
        <w:rPr>
          <w:rFonts w:ascii="STFangsong" w:eastAsia="STFangsong" w:hAnsi="STFangsong" w:cs="STFangsong" w:hint="eastAsia"/>
          <w:sz w:val="21"/>
          <w:szCs w:val="21"/>
        </w:rPr>
        <w:t>158</w:t>
      </w:r>
      <w:r>
        <w:rPr>
          <w:rFonts w:ascii="STFangsong" w:eastAsia="STFangsong" w:hAnsi="STFangsong" w:cs="STFangsong" w:hint="eastAsia"/>
          <w:sz w:val="21"/>
          <w:szCs w:val="21"/>
        </w:rPr>
        <w:t>页</w:t>
      </w:r>
    </w:p>
  </w:footnote>
  <w:footnote w:id="6">
    <w:p w14:paraId="6A6A3462" w14:textId="77777777" w:rsidR="001052FF" w:rsidRDefault="00EE2821">
      <w:pPr>
        <w:pStyle w:val="a8"/>
      </w:pPr>
      <w:r>
        <w:rPr>
          <w:rStyle w:val="ad"/>
        </w:rPr>
        <w:t>[</w:t>
      </w:r>
      <w:r>
        <w:rPr>
          <w:rStyle w:val="ad"/>
        </w:rPr>
        <w:footnoteRef/>
      </w:r>
      <w:r>
        <w:rPr>
          <w:rStyle w:val="ad"/>
        </w:rPr>
        <w:t>]</w:t>
      </w:r>
      <w: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万历十五年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/</w:t>
      </w:r>
      <w:r>
        <w:rPr>
          <w:rFonts w:ascii="STFangsong" w:eastAsia="STFangsong" w:hAnsi="STFangsong" w:cs="STFangsong" w:hint="eastAsia"/>
          <w:sz w:val="21"/>
          <w:szCs w:val="21"/>
        </w:rPr>
        <w:t>黄仁宇著</w:t>
      </w:r>
      <w:r>
        <w:rPr>
          <w:rFonts w:ascii="STFangsong" w:eastAsia="STFangsong" w:hAnsi="STFangsong" w:cs="STFangsong" w:hint="eastAsia"/>
          <w:sz w:val="21"/>
          <w:szCs w:val="21"/>
        </w:rPr>
        <w:t>. -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 xml:space="preserve"> 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北京</w:t>
      </w:r>
      <w:r>
        <w:rPr>
          <w:rFonts w:asciiTheme="minorEastAsia" w:hAnsiTheme="minorEastAsia" w:cstheme="minorEastAsia" w:hint="eastAsia"/>
          <w:color w:val="181E33"/>
          <w:kern w:val="0"/>
          <w:sz w:val="21"/>
          <w:szCs w:val="21"/>
          <w:shd w:val="clear" w:color="auto" w:fill="FFFFFF"/>
          <w:lang w:bidi="ar"/>
        </w:rPr>
        <w:t>:</w:t>
      </w:r>
      <w:r>
        <w:rPr>
          <w:rFonts w:ascii="STFangsong" w:eastAsia="STFangsong" w:hAnsi="STFangsong" w:cs="STFangsong" w:hint="eastAsia"/>
          <w:sz w:val="21"/>
          <w:szCs w:val="21"/>
        </w:rPr>
        <w:t>生活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读书</w:t>
      </w:r>
      <w:r>
        <w:rPr>
          <w:rFonts w:ascii="PingFang SC" w:eastAsia="PingFang SC" w:hAnsi="PingFang SC" w:cs="PingFang SC" w:hint="eastAsia"/>
          <w:sz w:val="28"/>
          <w:szCs w:val="28"/>
        </w:rPr>
        <w:t>·</w:t>
      </w:r>
      <w:r>
        <w:rPr>
          <w:rFonts w:ascii="STFangsong" w:eastAsia="STFangsong" w:hAnsi="STFangsong" w:cs="STFangsong" w:hint="eastAsia"/>
          <w:sz w:val="21"/>
          <w:szCs w:val="21"/>
        </w:rPr>
        <w:t>新知三联书店，</w:t>
      </w:r>
      <w:r>
        <w:rPr>
          <w:rFonts w:ascii="STFangsong" w:eastAsia="STFangsong" w:hAnsi="STFangsong" w:cs="STFangsong" w:hint="eastAsia"/>
          <w:sz w:val="21"/>
          <w:szCs w:val="21"/>
        </w:rPr>
        <w:t>1997.5</w:t>
      </w:r>
      <w:r>
        <w:rPr>
          <w:rFonts w:ascii="STFangsong" w:eastAsia="STFangsong" w:hAnsi="STFangsong" w:cs="STFangsong" w:hint="eastAsia"/>
          <w:sz w:val="21"/>
          <w:szCs w:val="21"/>
        </w:rPr>
        <w:t>（</w:t>
      </w:r>
      <w:r>
        <w:rPr>
          <w:rFonts w:ascii="STFangsong" w:eastAsia="STFangsong" w:hAnsi="STFangsong" w:cs="STFangsong" w:hint="eastAsia"/>
          <w:sz w:val="21"/>
          <w:szCs w:val="21"/>
        </w:rPr>
        <w:t>2023.11</w:t>
      </w:r>
      <w:r>
        <w:rPr>
          <w:rFonts w:ascii="STFangsong" w:eastAsia="STFangsong" w:hAnsi="STFangsong" w:cs="STFangsong" w:hint="eastAsia"/>
          <w:sz w:val="21"/>
          <w:szCs w:val="21"/>
        </w:rPr>
        <w:t>重印）</w:t>
      </w:r>
      <w:r>
        <w:rPr>
          <w:rFonts w:ascii="STFangsong" w:eastAsia="STFangsong" w:hAnsi="STFangsong" w:cs="STFangsong" w:hint="eastAsia"/>
          <w:sz w:val="21"/>
          <w:szCs w:val="21"/>
        </w:rPr>
        <w:t>268</w:t>
      </w:r>
      <w:r>
        <w:rPr>
          <w:rFonts w:ascii="STFangsong" w:eastAsia="STFangsong" w:hAnsi="STFangsong" w:cs="STFangsong" w:hint="eastAsia"/>
          <w:sz w:val="21"/>
          <w:szCs w:val="21"/>
        </w:rPr>
        <w:t>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1481"/>
    <w:multiLevelType w:val="multilevel"/>
    <w:tmpl w:val="08281481"/>
    <w:lvl w:ilvl="0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358D27C5"/>
    <w:multiLevelType w:val="multilevel"/>
    <w:tmpl w:val="358D27C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9035C3"/>
    <w:rsid w:val="00015DB6"/>
    <w:rsid w:val="0002604F"/>
    <w:rsid w:val="001052FF"/>
    <w:rsid w:val="00131E14"/>
    <w:rsid w:val="00220335"/>
    <w:rsid w:val="00265C13"/>
    <w:rsid w:val="004B2BDD"/>
    <w:rsid w:val="005401E5"/>
    <w:rsid w:val="00587AAB"/>
    <w:rsid w:val="005C2BDB"/>
    <w:rsid w:val="00711F02"/>
    <w:rsid w:val="00774EBF"/>
    <w:rsid w:val="007D73A4"/>
    <w:rsid w:val="007E02C8"/>
    <w:rsid w:val="00815949"/>
    <w:rsid w:val="008769B0"/>
    <w:rsid w:val="009D0188"/>
    <w:rsid w:val="00AC1C96"/>
    <w:rsid w:val="00BA4C2F"/>
    <w:rsid w:val="00D44DCF"/>
    <w:rsid w:val="00DB0923"/>
    <w:rsid w:val="00EE0DB7"/>
    <w:rsid w:val="00EE2821"/>
    <w:rsid w:val="00EE4729"/>
    <w:rsid w:val="00F4054A"/>
    <w:rsid w:val="0EB71EB8"/>
    <w:rsid w:val="0F9035C3"/>
    <w:rsid w:val="11A7346F"/>
    <w:rsid w:val="12C90942"/>
    <w:rsid w:val="15BA40FD"/>
    <w:rsid w:val="17302742"/>
    <w:rsid w:val="1EB68266"/>
    <w:rsid w:val="1FCFB852"/>
    <w:rsid w:val="1FFAF67F"/>
    <w:rsid w:val="21CB75E9"/>
    <w:rsid w:val="24770910"/>
    <w:rsid w:val="27A96F49"/>
    <w:rsid w:val="280F6C2F"/>
    <w:rsid w:val="2DFF8B2C"/>
    <w:rsid w:val="2EEEA882"/>
    <w:rsid w:val="32411944"/>
    <w:rsid w:val="3836F93D"/>
    <w:rsid w:val="3B3B3720"/>
    <w:rsid w:val="3BB7362E"/>
    <w:rsid w:val="3BDF0173"/>
    <w:rsid w:val="3BEF875E"/>
    <w:rsid w:val="3CD1E0FD"/>
    <w:rsid w:val="3DF74621"/>
    <w:rsid w:val="3E2746F7"/>
    <w:rsid w:val="3F3F4F8F"/>
    <w:rsid w:val="3FAE4C11"/>
    <w:rsid w:val="3FAEDE5F"/>
    <w:rsid w:val="3FAF0754"/>
    <w:rsid w:val="3FAF5105"/>
    <w:rsid w:val="3FF35DBD"/>
    <w:rsid w:val="3FFEF983"/>
    <w:rsid w:val="46BFC20E"/>
    <w:rsid w:val="4D7DE075"/>
    <w:rsid w:val="53EFC100"/>
    <w:rsid w:val="557ED21C"/>
    <w:rsid w:val="55B89D1D"/>
    <w:rsid w:val="55F7DE7A"/>
    <w:rsid w:val="5632BCC9"/>
    <w:rsid w:val="57EA2024"/>
    <w:rsid w:val="57FAACC3"/>
    <w:rsid w:val="59B3194E"/>
    <w:rsid w:val="5A987743"/>
    <w:rsid w:val="5BBF7A8A"/>
    <w:rsid w:val="5C46EBD5"/>
    <w:rsid w:val="5FFCCF1B"/>
    <w:rsid w:val="63F72CB6"/>
    <w:rsid w:val="641E6610"/>
    <w:rsid w:val="680B301F"/>
    <w:rsid w:val="6BEF6B08"/>
    <w:rsid w:val="6EE81995"/>
    <w:rsid w:val="6FBC4376"/>
    <w:rsid w:val="6FBD6092"/>
    <w:rsid w:val="71BB6E0D"/>
    <w:rsid w:val="743745FA"/>
    <w:rsid w:val="76FB2736"/>
    <w:rsid w:val="777B5088"/>
    <w:rsid w:val="77B73DE4"/>
    <w:rsid w:val="78FF2A38"/>
    <w:rsid w:val="78FFD452"/>
    <w:rsid w:val="7B3BB977"/>
    <w:rsid w:val="7B5F56B0"/>
    <w:rsid w:val="7CF3A26A"/>
    <w:rsid w:val="7D8FE933"/>
    <w:rsid w:val="7DCDDB81"/>
    <w:rsid w:val="7DD45153"/>
    <w:rsid w:val="7DDBE052"/>
    <w:rsid w:val="7DFBFD10"/>
    <w:rsid w:val="7E3C3835"/>
    <w:rsid w:val="7E5F08FE"/>
    <w:rsid w:val="7ED7C7CC"/>
    <w:rsid w:val="7EF77B2E"/>
    <w:rsid w:val="7F5FB190"/>
    <w:rsid w:val="7F7EC9DA"/>
    <w:rsid w:val="7FAA6B5B"/>
    <w:rsid w:val="7FD3CB77"/>
    <w:rsid w:val="7FDF804A"/>
    <w:rsid w:val="7FE686F1"/>
    <w:rsid w:val="7FE6C3FA"/>
    <w:rsid w:val="7FFB8404"/>
    <w:rsid w:val="7FFEC398"/>
    <w:rsid w:val="7FFFEC3F"/>
    <w:rsid w:val="8BBF5ACA"/>
    <w:rsid w:val="8BEFC4FC"/>
    <w:rsid w:val="8FAFFBC6"/>
    <w:rsid w:val="97FF1F0D"/>
    <w:rsid w:val="9AFF49F9"/>
    <w:rsid w:val="A97C78EF"/>
    <w:rsid w:val="AA1FE9DC"/>
    <w:rsid w:val="AAF5F68D"/>
    <w:rsid w:val="ABFF2E5C"/>
    <w:rsid w:val="AFFFDFB8"/>
    <w:rsid w:val="B7E9E096"/>
    <w:rsid w:val="BAFFE912"/>
    <w:rsid w:val="BBDC0847"/>
    <w:rsid w:val="BBDD545D"/>
    <w:rsid w:val="BBFFD786"/>
    <w:rsid w:val="BC753A97"/>
    <w:rsid w:val="BD6F05D4"/>
    <w:rsid w:val="BE5FA261"/>
    <w:rsid w:val="BE7FD352"/>
    <w:rsid w:val="BF3A241C"/>
    <w:rsid w:val="BF7F26DA"/>
    <w:rsid w:val="BFC79AC4"/>
    <w:rsid w:val="BFEB710B"/>
    <w:rsid w:val="BFFBC543"/>
    <w:rsid w:val="C0FF609B"/>
    <w:rsid w:val="C7714E4C"/>
    <w:rsid w:val="CCF8728A"/>
    <w:rsid w:val="CDFFCC58"/>
    <w:rsid w:val="D76FFC34"/>
    <w:rsid w:val="D7B714F0"/>
    <w:rsid w:val="DB7FEC4D"/>
    <w:rsid w:val="DBBFA403"/>
    <w:rsid w:val="DC7F0D82"/>
    <w:rsid w:val="DDDDF3C0"/>
    <w:rsid w:val="DDDF37A7"/>
    <w:rsid w:val="DEE7B8AD"/>
    <w:rsid w:val="DEF75CB6"/>
    <w:rsid w:val="DFD3E5A4"/>
    <w:rsid w:val="DFEC1C8E"/>
    <w:rsid w:val="DFF370F0"/>
    <w:rsid w:val="DFFF5FC2"/>
    <w:rsid w:val="E6BE8DD6"/>
    <w:rsid w:val="E6DF3B0B"/>
    <w:rsid w:val="E9F73B57"/>
    <w:rsid w:val="EAFAED24"/>
    <w:rsid w:val="EB7E31B3"/>
    <w:rsid w:val="EBBA8AB1"/>
    <w:rsid w:val="EBCDC602"/>
    <w:rsid w:val="EEDEF7BD"/>
    <w:rsid w:val="EEEB48B3"/>
    <w:rsid w:val="EEFA7919"/>
    <w:rsid w:val="EEFFAB7A"/>
    <w:rsid w:val="EF7BE6E0"/>
    <w:rsid w:val="EFB33D12"/>
    <w:rsid w:val="EFDEE205"/>
    <w:rsid w:val="F1FCC302"/>
    <w:rsid w:val="F24F0073"/>
    <w:rsid w:val="F4FE2884"/>
    <w:rsid w:val="F57AFB22"/>
    <w:rsid w:val="F5EF97C6"/>
    <w:rsid w:val="F67E45ED"/>
    <w:rsid w:val="F6BED710"/>
    <w:rsid w:val="F75F169D"/>
    <w:rsid w:val="F79FCBB3"/>
    <w:rsid w:val="F7CFC7CE"/>
    <w:rsid w:val="F7FB4908"/>
    <w:rsid w:val="F8CEF043"/>
    <w:rsid w:val="F97AD01A"/>
    <w:rsid w:val="FA5FB49C"/>
    <w:rsid w:val="FB0EF192"/>
    <w:rsid w:val="FB470964"/>
    <w:rsid w:val="FB7B8B81"/>
    <w:rsid w:val="FBD3DC48"/>
    <w:rsid w:val="FBF3F5EE"/>
    <w:rsid w:val="FBFEDCC0"/>
    <w:rsid w:val="FCDB2956"/>
    <w:rsid w:val="FDF54FE7"/>
    <w:rsid w:val="FDFBDC53"/>
    <w:rsid w:val="FDFF6349"/>
    <w:rsid w:val="FE5F2ABD"/>
    <w:rsid w:val="FE5FD617"/>
    <w:rsid w:val="FEAFDE70"/>
    <w:rsid w:val="FEBB8887"/>
    <w:rsid w:val="FEF3064A"/>
    <w:rsid w:val="FEFFE3C8"/>
    <w:rsid w:val="FF2E6F0D"/>
    <w:rsid w:val="FF6FD8D8"/>
    <w:rsid w:val="FF74EEF8"/>
    <w:rsid w:val="FFAF46CA"/>
    <w:rsid w:val="FFB4D3B8"/>
    <w:rsid w:val="FFC8BBDD"/>
    <w:rsid w:val="FFCF17F8"/>
    <w:rsid w:val="FFDBED09"/>
    <w:rsid w:val="FFE996C6"/>
    <w:rsid w:val="FFF17080"/>
    <w:rsid w:val="FFF77896"/>
    <w:rsid w:val="FFFBD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8FE19C5"/>
  <w15:docId w15:val="{5972E283-1821-EC4A-B96B-7254982A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qFormat/>
    <w:pPr>
      <w:snapToGrid w:val="0"/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qFormat/>
    <w:pPr>
      <w:snapToGrid w:val="0"/>
      <w:jc w:val="left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endnote reference"/>
    <w:basedOn w:val="a0"/>
    <w:qFormat/>
    <w:rPr>
      <w:vertAlign w:val="superscript"/>
    </w:rPr>
  </w:style>
  <w:style w:type="character" w:styleId="ad">
    <w:name w:val="footnote reference"/>
    <w:basedOn w:val="a0"/>
    <w:qFormat/>
    <w:rPr>
      <w:vertAlign w:val="superscript"/>
    </w:rPr>
  </w:style>
  <w:style w:type="paragraph" w:customStyle="1" w:styleId="Ae">
    <w:name w:val="A管理模式编号（一）"/>
    <w:basedOn w:val="a"/>
    <w:qFormat/>
    <w:pPr>
      <w:spacing w:line="360" w:lineRule="auto"/>
    </w:pPr>
    <w:rPr>
      <w:rFonts w:ascii="宋体" w:hAnsi="长城粗隶书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陶霞波</dc:creator>
  <cp:lastModifiedBy>Microsoft Office User</cp:lastModifiedBy>
  <cp:revision>7</cp:revision>
  <dcterms:created xsi:type="dcterms:W3CDTF">2022-03-20T04:40:00Z</dcterms:created>
  <dcterms:modified xsi:type="dcterms:W3CDTF">2025-05-06T03:02:00Z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4F0072471EF026AC31FBDC676C564C94_42</vt:lpwstr>
  </property>
</Properties>
</file>